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B2" w:rsidRDefault="001F33F4">
      <w:pPr>
        <w:pStyle w:val="Heading1"/>
        <w:numPr>
          <w:ilvl w:val="0"/>
          <w:numId w:val="4"/>
        </w:numPr>
      </w:pPr>
      <w:r>
        <w:t xml:space="preserve">Calculation Support Worksheet for Determination of PCP Area </w:t>
      </w:r>
    </w:p>
    <w:p w:rsidR="00F355B2" w:rsidRDefault="00F355B2">
      <w:pPr>
        <w:pBdr>
          <w:top w:val="nil"/>
          <w:left w:val="nil"/>
          <w:bottom w:val="nil"/>
          <w:right w:val="nil"/>
          <w:between w:val="nil"/>
        </w:pBdr>
        <w:spacing w:after="0" w:line="240" w:lineRule="auto"/>
        <w:rPr>
          <w:color w:val="000000"/>
        </w:rPr>
      </w:pPr>
    </w:p>
    <w:p w:rsidR="00F355B2" w:rsidRDefault="001F33F4">
      <w:pPr>
        <w:pBdr>
          <w:top w:val="nil"/>
          <w:left w:val="nil"/>
          <w:bottom w:val="nil"/>
          <w:right w:val="nil"/>
          <w:between w:val="nil"/>
        </w:pBdr>
        <w:spacing w:after="0" w:line="240" w:lineRule="auto"/>
      </w:pPr>
      <w:r>
        <w:rPr>
          <w:color w:val="000000"/>
          <w:u w:val="single"/>
        </w:rPr>
        <w:t>Goal</w:t>
      </w:r>
      <w:r>
        <w:rPr>
          <w:color w:val="000000"/>
        </w:rPr>
        <w:t xml:space="preserve">: Provide guidance and support to select your PCP scope (area) based on land use analysis. Many communities have a decision to make between implementing the PCP in just the Urbanized Area (UA), or within your municipality’s entire jurisdiction within the watershed. </w:t>
      </w:r>
    </w:p>
    <w:p w:rsidR="00F355B2" w:rsidRDefault="00F355B2">
      <w:pPr>
        <w:spacing w:after="0" w:line="240" w:lineRule="auto"/>
        <w:rPr>
          <w:color w:val="000000"/>
        </w:rPr>
      </w:pPr>
    </w:p>
    <w:p w:rsidR="00F355B2" w:rsidRDefault="001F33F4">
      <w:pPr>
        <w:spacing w:after="0" w:line="240" w:lineRule="auto"/>
      </w:pPr>
      <w:r>
        <w:t>“Item 1-3” of Permit Appendix F allows municipalities to select the PCP Area (PCP Scope) Baseline. This dictates:</w:t>
      </w:r>
    </w:p>
    <w:p w:rsidR="00F355B2" w:rsidRDefault="001F33F4">
      <w:pPr>
        <w:numPr>
          <w:ilvl w:val="0"/>
          <w:numId w:val="10"/>
        </w:numPr>
        <w:pBdr>
          <w:top w:val="nil"/>
          <w:left w:val="nil"/>
          <w:bottom w:val="nil"/>
          <w:right w:val="nil"/>
          <w:between w:val="nil"/>
        </w:pBdr>
        <w:spacing w:after="0" w:line="240" w:lineRule="auto"/>
      </w:pPr>
      <w:r>
        <w:rPr>
          <w:color w:val="000000"/>
        </w:rPr>
        <w:t>Where within the municipality the PCP will be implemented, and</w:t>
      </w:r>
    </w:p>
    <w:p w:rsidR="00F355B2" w:rsidRDefault="001F33F4">
      <w:pPr>
        <w:numPr>
          <w:ilvl w:val="0"/>
          <w:numId w:val="10"/>
        </w:numPr>
        <w:pBdr>
          <w:top w:val="nil"/>
          <w:left w:val="nil"/>
          <w:bottom w:val="nil"/>
          <w:right w:val="nil"/>
          <w:between w:val="nil"/>
        </w:pBdr>
        <w:spacing w:after="0" w:line="240" w:lineRule="auto"/>
      </w:pPr>
      <w:r>
        <w:rPr>
          <w:color w:val="000000"/>
        </w:rPr>
        <w:t>What the associated Phosphorus reduction target is for the area selected.</w:t>
      </w:r>
    </w:p>
    <w:p w:rsidR="00F355B2" w:rsidRDefault="00F355B2">
      <w:pPr>
        <w:spacing w:after="0" w:line="240" w:lineRule="auto"/>
        <w:ind w:left="360" w:hanging="360"/>
      </w:pPr>
    </w:p>
    <w:p w:rsidR="00F355B2" w:rsidRDefault="001F33F4">
      <w:pPr>
        <w:spacing w:after="0" w:line="240" w:lineRule="auto"/>
      </w:pPr>
      <w:r>
        <w:t xml:space="preserve">Here, we will walk you through the key considerations for PCP-scope determination. Table 1 compares the differences in reduction targets for each municipality between your entire watershed and your Urbanized Area. This information is pulled from Tables F-2 and F-3 of Permit Appendix F, which are also presented in Table 3 and Table 4 at the end of this worksheet. Note that the information in Table 1 is reported in both pounds/year and kg/year. For ease of tracking, we recommend converting each of the key parameters to </w:t>
      </w:r>
      <w:proofErr w:type="spellStart"/>
      <w:r>
        <w:t>lb</w:t>
      </w:r>
      <w:proofErr w:type="spellEnd"/>
      <w:r>
        <w:t>/yr. This will likely align with your internal tracking and operations more seamlessly. Conversion presented below:</w:t>
      </w:r>
    </w:p>
    <w:p w:rsidR="00F355B2" w:rsidRDefault="00F355B2">
      <w:pPr>
        <w:spacing w:after="0" w:line="240" w:lineRule="auto"/>
      </w:pPr>
    </w:p>
    <w:p w:rsidR="00F355B2" w:rsidRDefault="001F33F4">
      <w:pPr>
        <w:spacing w:after="0" w:line="240" w:lineRule="auto"/>
        <w:jc w:val="center"/>
        <w:rPr>
          <w:i/>
        </w:rPr>
      </w:pPr>
      <w:r>
        <w:rPr>
          <w:i/>
        </w:rPr>
        <w:t xml:space="preserve">1 kg/year = 2.2045 </w:t>
      </w:r>
      <w:proofErr w:type="spellStart"/>
      <w:r>
        <w:rPr>
          <w:i/>
        </w:rPr>
        <w:t>lb</w:t>
      </w:r>
      <w:proofErr w:type="spellEnd"/>
      <w:r>
        <w:rPr>
          <w:i/>
        </w:rPr>
        <w:t>/year</w:t>
      </w:r>
    </w:p>
    <w:p w:rsidR="00F355B2" w:rsidRDefault="00F355B2">
      <w:pPr>
        <w:spacing w:after="0" w:line="240" w:lineRule="auto"/>
        <w:rPr>
          <w:i/>
        </w:rPr>
      </w:pPr>
    </w:p>
    <w:p w:rsidR="00F355B2" w:rsidRDefault="001F33F4">
      <w:pPr>
        <w:spacing w:after="0" w:line="240" w:lineRule="auto"/>
      </w:pPr>
      <w:r>
        <w:rPr>
          <w:b/>
        </w:rPr>
        <w:t>For municipalities NOT highlighted in yellow in Table 1, the entire Charles River watershed area in your community is also completely Urbanized/Regulated MS4 area, and therefore PCP Scope is pre-determined.</w:t>
      </w:r>
      <w:r>
        <w:t xml:space="preserve">  </w:t>
      </w:r>
      <w:r>
        <w:rPr>
          <w:b/>
        </w:rPr>
        <w:t xml:space="preserve">Skip to the final section of the Calculation Support Worksheet titled "PCP Area'' </w:t>
      </w:r>
      <w:r>
        <w:t>(page 3).</w:t>
      </w:r>
    </w:p>
    <w:p w:rsidR="00F355B2" w:rsidRDefault="00F355B2">
      <w:pPr>
        <w:spacing w:after="0" w:line="240" w:lineRule="auto"/>
      </w:pPr>
    </w:p>
    <w:p w:rsidR="00F355B2" w:rsidRDefault="001F33F4">
      <w:pPr>
        <w:spacing w:after="0" w:line="240" w:lineRule="auto"/>
        <w:rPr>
          <w:color w:val="000000"/>
        </w:rPr>
      </w:pPr>
      <w:r>
        <w:rPr>
          <w:color w:val="000000"/>
        </w:rPr>
        <w:t xml:space="preserve">Note: In all cases, the selected PCP Area must be entirely located within the Charles River Watershed boundary. For municipalities that straddle the Charles River Watershed and another watershed, even if you select the “Entire Jurisdiction,” you are only required to implement the PCP within your municipality’s jurisdiction within Charles River Watershed. </w:t>
      </w:r>
    </w:p>
    <w:p w:rsidR="00F355B2" w:rsidRDefault="00F355B2">
      <w:pPr>
        <w:keepNext/>
        <w:pBdr>
          <w:top w:val="nil"/>
          <w:left w:val="nil"/>
          <w:bottom w:val="nil"/>
          <w:right w:val="nil"/>
          <w:between w:val="nil"/>
        </w:pBdr>
        <w:spacing w:after="200" w:line="240" w:lineRule="auto"/>
        <w:rPr>
          <w:color w:val="000000"/>
        </w:rPr>
      </w:pPr>
      <w:bookmarkStart w:id="0" w:name="_heading=h.gjdgxs" w:colFirst="0" w:colLast="0"/>
      <w:bookmarkEnd w:id="0"/>
    </w:p>
    <w:p w:rsidR="00F355B2" w:rsidRDefault="001F33F4">
      <w:pPr>
        <w:keepNext/>
        <w:pBdr>
          <w:top w:val="nil"/>
          <w:left w:val="nil"/>
          <w:bottom w:val="nil"/>
          <w:right w:val="nil"/>
          <w:between w:val="nil"/>
        </w:pBdr>
        <w:spacing w:after="200" w:line="240" w:lineRule="auto"/>
        <w:jc w:val="center"/>
      </w:pPr>
      <w:bookmarkStart w:id="1" w:name="_heading=h.3dy6vkm" w:colFirst="0" w:colLast="0"/>
      <w:bookmarkEnd w:id="1"/>
      <w:r>
        <w:rPr>
          <w:color w:val="000000"/>
        </w:rPr>
        <w:t>Table 1. Comparison of PCP Area for Each Municipality</w:t>
      </w:r>
      <w:r>
        <w:rPr>
          <w:color w:val="000000"/>
          <w:vertAlign w:val="superscript"/>
        </w:rPr>
        <w:t>1</w:t>
      </w:r>
    </w:p>
    <w:tbl>
      <w:tblPr>
        <w:tblStyle w:val="af"/>
        <w:tblW w:w="1134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710"/>
        <w:gridCol w:w="2130"/>
        <w:gridCol w:w="1920"/>
        <w:gridCol w:w="1845"/>
        <w:gridCol w:w="2115"/>
        <w:gridCol w:w="1620"/>
      </w:tblGrid>
      <w:tr w:rsidR="00F355B2">
        <w:trPr>
          <w:trHeight w:val="2128"/>
        </w:trPr>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Community</w:t>
            </w:r>
          </w:p>
        </w:tc>
        <w:tc>
          <w:tcPr>
            <w:tcW w:w="21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Stormwater Phosphorus Load Reduction Requirement, Entire Jurisdiction in Charles River (kg/</w:t>
            </w:r>
            <w:proofErr w:type="spellStart"/>
            <w:r>
              <w:t>yr</w:t>
            </w:r>
            <w:proofErr w:type="spellEnd"/>
            <w:r>
              <w:t>)</w:t>
            </w:r>
          </w:p>
        </w:tc>
        <w:tc>
          <w:tcPr>
            <w:tcW w:w="19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Stormwater Phosphorus Load Reduction Requirement, Urbanized Area Only in Charles River (kg/</w:t>
            </w:r>
            <w:proofErr w:type="spellStart"/>
            <w:r>
              <w:t>yr</w:t>
            </w:r>
            <w:proofErr w:type="spellEnd"/>
            <w:r>
              <w:t>)</w:t>
            </w:r>
          </w:p>
        </w:tc>
        <w:tc>
          <w:tcPr>
            <w:tcW w:w="18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Stormwater Phosphorus Load Reduction Requirement, Entire Jurisdiction in Charles River (</w:t>
            </w:r>
            <w:proofErr w:type="spellStart"/>
            <w:r>
              <w:t>lb</w:t>
            </w:r>
            <w:proofErr w:type="spellEnd"/>
            <w:r>
              <w:t>/</w:t>
            </w:r>
            <w:proofErr w:type="spellStart"/>
            <w:r>
              <w:t>yr</w:t>
            </w:r>
            <w:proofErr w:type="spellEnd"/>
            <w:r>
              <w:t>)</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Stormwater Phosphorus Load Reduction Requirement, Urbanized Area Only in Charles River (</w:t>
            </w:r>
            <w:proofErr w:type="spellStart"/>
            <w:r>
              <w:t>lb</w:t>
            </w:r>
            <w:proofErr w:type="spellEnd"/>
            <w:r>
              <w:t>/</w:t>
            </w:r>
            <w:proofErr w:type="spellStart"/>
            <w:r>
              <w:t>yr</w:t>
            </w:r>
            <w:proofErr w:type="spellEnd"/>
            <w:r>
              <w:t>)</w:t>
            </w:r>
          </w:p>
        </w:tc>
        <w:tc>
          <w:tcPr>
            <w:tcW w:w="16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355B2" w:rsidRDefault="001F33F4">
            <w:pPr>
              <w:spacing w:after="0" w:line="240" w:lineRule="auto"/>
            </w:pPr>
            <w:r>
              <w:t>Difference</w:t>
            </w:r>
          </w:p>
          <w:p w:rsidR="00F355B2" w:rsidRDefault="001F33F4">
            <w:pPr>
              <w:spacing w:after="0" w:line="240" w:lineRule="auto"/>
            </w:pPr>
            <w:r>
              <w:t>(</w:t>
            </w:r>
            <w:proofErr w:type="spellStart"/>
            <w:r>
              <w:t>lb</w:t>
            </w:r>
            <w:proofErr w:type="spellEnd"/>
            <w:r>
              <w:t>/</w:t>
            </w:r>
            <w:proofErr w:type="spellStart"/>
            <w:r>
              <w:t>yr</w:t>
            </w:r>
            <w:proofErr w:type="spellEnd"/>
            <w:r>
              <w:t>)</w:t>
            </w:r>
          </w:p>
        </w:tc>
      </w:tr>
      <w:tr w:rsidR="00F355B2">
        <w:trPr>
          <w:trHeight w:val="557"/>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Arlington</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68</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68</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149.9</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149.9</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Ashland</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28</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28</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61.7</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61.7</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lastRenderedPageBreak/>
              <w:t>Bellingham</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398</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352</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877.4</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776</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101.4</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Belmont</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105</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105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231.5</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231.5</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Boston</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4145</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4145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9138.1</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9138.1</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Brookline</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968</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968</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2134.1</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2134.1</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Cambridge</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317</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317</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698.9</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698.9</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Dedham</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404</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404</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890.7</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890.7</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Dover</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180</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82</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396.8</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180.8</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216.1</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Foxborough</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Franklin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1012</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1007</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2231.1</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2220.1</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11</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Holliston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496</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466</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1093.5</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1027.4</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66.1</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Hopedale</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47</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47</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103.6</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103.6</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Hopkinton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89</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88</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196.2</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194</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Lexington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242</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241</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533.5</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531.3</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Lincoln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127</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84</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280</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185.2</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94.8</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Mass-DCR</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91</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89</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200.6</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196.2</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4.4</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Medfield</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345</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335</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760.6</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738.5</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Medway</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400</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390</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881.8</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859.8</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Mendon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11</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24.3</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13.2</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11</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lastRenderedPageBreak/>
              <w:t>Milford</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809</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798</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1783.5</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1759.3</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24.3</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Millis</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301</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200</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663.6</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440.9</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222.7</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Natick</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486</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456</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1071.4</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1005.3</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66.1</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Needham</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974</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974</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2147.3</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2147.3</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Newton</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2365</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2365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5213.9</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5213.9</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Norfolk</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286</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285</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630.5</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628.3</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Sherborn</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156</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52</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343.9</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114.6</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229.3</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Somerville</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400</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400</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881.8</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881.8</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Walpole</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37</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37</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81.6</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81.6</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Waltham</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1755</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1755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3869.1</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3869.1</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0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Watertown</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703</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703</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1549.8</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1549.8</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42"/>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Wayland</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19</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19</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41.9</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41.9</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182"/>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Wellesley</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821</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821</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1810</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1810</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42"/>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Weston</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375</w:t>
            </w:r>
          </w:p>
        </w:tc>
        <w:tc>
          <w:tcPr>
            <w:tcW w:w="1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375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826.7</w:t>
            </w:r>
          </w:p>
        </w:tc>
        <w:tc>
          <w:tcPr>
            <w:tcW w:w="2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826.7</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355B2" w:rsidRDefault="001F33F4">
            <w:pPr>
              <w:spacing w:after="0" w:line="240" w:lineRule="auto"/>
            </w:pPr>
            <w:r>
              <w:t>0</w:t>
            </w:r>
          </w:p>
        </w:tc>
      </w:tr>
      <w:tr w:rsidR="00F355B2">
        <w:trPr>
          <w:trHeight w:val="515"/>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Westwood</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150</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143</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330.7</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315.3</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15.4</w:t>
            </w:r>
          </w:p>
        </w:tc>
      </w:tr>
      <w:tr w:rsidR="00F355B2">
        <w:trPr>
          <w:trHeight w:val="335"/>
        </w:trPr>
        <w:tc>
          <w:tcPr>
            <w:tcW w:w="1710" w:type="dxa"/>
            <w:tcBorders>
              <w:top w:val="nil"/>
              <w:left w:val="single" w:sz="8" w:space="0" w:color="000000"/>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Wrentham</w:t>
            </w:r>
          </w:p>
        </w:tc>
        <w:tc>
          <w:tcPr>
            <w:tcW w:w="213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210</w:t>
            </w:r>
          </w:p>
        </w:tc>
        <w:tc>
          <w:tcPr>
            <w:tcW w:w="19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196</w:t>
            </w:r>
          </w:p>
        </w:tc>
        <w:tc>
          <w:tcPr>
            <w:tcW w:w="184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463</w:t>
            </w:r>
          </w:p>
        </w:tc>
        <w:tc>
          <w:tcPr>
            <w:tcW w:w="2115"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432.1</w:t>
            </w:r>
          </w:p>
        </w:tc>
        <w:tc>
          <w:tcPr>
            <w:tcW w:w="1620" w:type="dxa"/>
            <w:tcBorders>
              <w:top w:val="nil"/>
              <w:left w:val="nil"/>
              <w:bottom w:val="single" w:sz="8" w:space="0" w:color="000000"/>
              <w:right w:val="single" w:sz="8" w:space="0" w:color="000000"/>
            </w:tcBorders>
            <w:shd w:val="clear" w:color="auto" w:fill="FFE699"/>
            <w:tcMar>
              <w:top w:w="100" w:type="dxa"/>
              <w:left w:w="100" w:type="dxa"/>
              <w:bottom w:w="100" w:type="dxa"/>
              <w:right w:w="100" w:type="dxa"/>
            </w:tcMar>
          </w:tcPr>
          <w:p w:rsidR="00F355B2" w:rsidRDefault="001F33F4">
            <w:pPr>
              <w:spacing w:after="0" w:line="240" w:lineRule="auto"/>
            </w:pPr>
            <w:r>
              <w:t>30.9</w:t>
            </w:r>
          </w:p>
        </w:tc>
      </w:tr>
    </w:tbl>
    <w:p w:rsidR="00F355B2" w:rsidRDefault="001F33F4">
      <w:pPr>
        <w:spacing w:after="0" w:line="240" w:lineRule="auto"/>
        <w:rPr>
          <w:sz w:val="20"/>
          <w:szCs w:val="20"/>
        </w:rPr>
      </w:pPr>
      <w:r>
        <w:rPr>
          <w:sz w:val="20"/>
          <w:szCs w:val="20"/>
          <w:vertAlign w:val="superscript"/>
        </w:rPr>
        <w:t>1</w:t>
      </w:r>
      <w:r>
        <w:rPr>
          <w:sz w:val="20"/>
          <w:szCs w:val="20"/>
        </w:rPr>
        <w:t xml:space="preserve"> Note: Highlighted rows have differences between two options (“decision communities”) and require analysis. Non-highlighted rows have no differences between scope areas (“no decision communities”).</w:t>
      </w:r>
    </w:p>
    <w:p w:rsidR="00F355B2" w:rsidRDefault="00F355B2">
      <w:pPr>
        <w:spacing w:after="0" w:line="240" w:lineRule="auto"/>
        <w:rPr>
          <w:highlight w:val="yellow"/>
        </w:rPr>
      </w:pPr>
    </w:p>
    <w:p w:rsidR="00F355B2" w:rsidRDefault="001F33F4">
      <w:pPr>
        <w:spacing w:after="0" w:line="240" w:lineRule="auto"/>
      </w:pPr>
      <w:r>
        <w:t xml:space="preserve">For those municipalities highlighted in yellow in Table 1, this will guide the comparison between the two options, presenting suggested considerations for your decision. The required reduction in the entire jurisdiction is higher than that for just the Urbanized Area. </w:t>
      </w:r>
    </w:p>
    <w:p w:rsidR="00F355B2" w:rsidRDefault="001F33F4">
      <w:pPr>
        <w:spacing w:after="0" w:line="240" w:lineRule="auto"/>
      </w:pPr>
      <w:r>
        <w:rPr>
          <w:u w:val="single"/>
        </w:rPr>
        <w:t>There are a few reasons you may decide to implement your PCP across your entire jurisdiction,</w:t>
      </w:r>
      <w:r>
        <w:t xml:space="preserve"> including:</w:t>
      </w:r>
    </w:p>
    <w:p w:rsidR="00F355B2" w:rsidRDefault="001F33F4">
      <w:pPr>
        <w:numPr>
          <w:ilvl w:val="0"/>
          <w:numId w:val="9"/>
        </w:numPr>
        <w:pBdr>
          <w:top w:val="nil"/>
          <w:left w:val="nil"/>
          <w:bottom w:val="nil"/>
          <w:right w:val="nil"/>
          <w:between w:val="nil"/>
        </w:pBdr>
        <w:spacing w:after="0" w:line="240" w:lineRule="auto"/>
      </w:pPr>
      <w:bookmarkStart w:id="2" w:name="_heading=h.1t3h5sf" w:colFirst="0" w:colLast="0"/>
      <w:bookmarkEnd w:id="2"/>
      <w:r>
        <w:rPr>
          <w:color w:val="000000"/>
        </w:rPr>
        <w:lastRenderedPageBreak/>
        <w:t>Most readily developable and re-developable land is located outside the Urbanized Area;</w:t>
      </w:r>
    </w:p>
    <w:p w:rsidR="00F355B2" w:rsidRDefault="001F33F4">
      <w:pPr>
        <w:numPr>
          <w:ilvl w:val="0"/>
          <w:numId w:val="9"/>
        </w:numPr>
        <w:pBdr>
          <w:top w:val="nil"/>
          <w:left w:val="nil"/>
          <w:bottom w:val="nil"/>
          <w:right w:val="nil"/>
          <w:between w:val="nil"/>
        </w:pBdr>
        <w:spacing w:after="0" w:line="240" w:lineRule="auto"/>
      </w:pPr>
      <w:r>
        <w:rPr>
          <w:color w:val="000000"/>
        </w:rPr>
        <w:t>Key large parcels suitable for structural BMPs are located outside the Urbanized Area;</w:t>
      </w:r>
    </w:p>
    <w:p w:rsidR="00F355B2" w:rsidRDefault="001F33F4">
      <w:pPr>
        <w:numPr>
          <w:ilvl w:val="0"/>
          <w:numId w:val="9"/>
        </w:numPr>
        <w:pBdr>
          <w:top w:val="nil"/>
          <w:left w:val="nil"/>
          <w:bottom w:val="nil"/>
          <w:right w:val="nil"/>
          <w:between w:val="nil"/>
        </w:pBdr>
        <w:spacing w:after="0" w:line="240" w:lineRule="auto"/>
      </w:pPr>
      <w:r>
        <w:rPr>
          <w:color w:val="000000"/>
        </w:rPr>
        <w:t>Soil types, groundwater conditions, etc. most suitable to BMPs are outside the Urbanized Area (this may be a consideration for communities with a very small difference);</w:t>
      </w:r>
    </w:p>
    <w:p w:rsidR="00F355B2" w:rsidRDefault="001F33F4">
      <w:pPr>
        <w:numPr>
          <w:ilvl w:val="0"/>
          <w:numId w:val="9"/>
        </w:numPr>
        <w:pBdr>
          <w:top w:val="nil"/>
          <w:left w:val="nil"/>
          <w:bottom w:val="nil"/>
          <w:right w:val="nil"/>
          <w:between w:val="nil"/>
        </w:pBdr>
        <w:spacing w:after="0" w:line="240" w:lineRule="auto"/>
      </w:pPr>
      <w:r>
        <w:rPr>
          <w:color w:val="000000"/>
        </w:rPr>
        <w:t>New development with modern stormwater controls is present/prevalent outside the Urbanized Area.</w:t>
      </w:r>
    </w:p>
    <w:p w:rsidR="00F355B2" w:rsidRDefault="001F33F4">
      <w:pPr>
        <w:numPr>
          <w:ilvl w:val="0"/>
          <w:numId w:val="9"/>
        </w:numPr>
        <w:pBdr>
          <w:top w:val="nil"/>
          <w:left w:val="nil"/>
          <w:bottom w:val="nil"/>
          <w:right w:val="nil"/>
          <w:between w:val="nil"/>
        </w:pBdr>
        <w:spacing w:after="0" w:line="240" w:lineRule="auto"/>
      </w:pPr>
      <w:r>
        <w:t>Planned practices/approaches will be implemented at the municipal scale and you want to “take credit” for all the non-structural and structural stormwater practices being implemented in the community</w:t>
      </w:r>
    </w:p>
    <w:p w:rsidR="00F355B2" w:rsidRDefault="001F33F4">
      <w:pPr>
        <w:numPr>
          <w:ilvl w:val="0"/>
          <w:numId w:val="9"/>
        </w:numPr>
        <w:pBdr>
          <w:top w:val="nil"/>
          <w:left w:val="nil"/>
          <w:bottom w:val="nil"/>
          <w:right w:val="nil"/>
          <w:between w:val="nil"/>
        </w:pBdr>
        <w:spacing w:after="0" w:line="240" w:lineRule="auto"/>
      </w:pPr>
      <w:r>
        <w:rPr>
          <w:color w:val="000000"/>
        </w:rPr>
        <w:t>Creating a distinction of the Urbanized Area will complicate BMP tracking and regulatory requirements.  (i.e. how easy or difficult will it be to implement and track enhanced non-structural BMPs in a targeted area vs. entire town?)</w:t>
      </w:r>
    </w:p>
    <w:p w:rsidR="00F355B2" w:rsidRDefault="00F355B2">
      <w:pPr>
        <w:spacing w:after="0" w:line="240" w:lineRule="auto"/>
      </w:pPr>
    </w:p>
    <w:p w:rsidR="00F355B2" w:rsidRDefault="001F33F4">
      <w:pPr>
        <w:spacing w:after="0" w:line="240" w:lineRule="auto"/>
      </w:pPr>
      <w:r>
        <w:t xml:space="preserve">Please see the maps in Appendix R.5, which contains overlays illustrating where some of the best land areas for structural BMPs, both within and outside of the Urbanized Area, are located for each municipality. This will help indicate if there is ample opportunity for phosphorus-credits outside the Urbanized Area. </w:t>
      </w:r>
    </w:p>
    <w:p w:rsidR="00F355B2" w:rsidRDefault="00F355B2">
      <w:pPr>
        <w:spacing w:after="0" w:line="240" w:lineRule="auto"/>
      </w:pPr>
    </w:p>
    <w:p w:rsidR="00F355B2" w:rsidRDefault="001F33F4">
      <w:pPr>
        <w:spacing w:after="0" w:line="240" w:lineRule="auto"/>
      </w:pPr>
      <w:r>
        <w:t>We also recommend considering the following question:</w:t>
      </w:r>
    </w:p>
    <w:p w:rsidR="00F355B2" w:rsidRDefault="001F33F4">
      <w:pPr>
        <w:numPr>
          <w:ilvl w:val="0"/>
          <w:numId w:val="6"/>
        </w:numPr>
        <w:pBdr>
          <w:top w:val="nil"/>
          <w:left w:val="nil"/>
          <w:bottom w:val="nil"/>
          <w:right w:val="nil"/>
          <w:between w:val="nil"/>
        </w:pBdr>
        <w:spacing w:after="0" w:line="240" w:lineRule="auto"/>
        <w:rPr>
          <w:color w:val="000000"/>
        </w:rPr>
      </w:pPr>
      <w:r>
        <w:rPr>
          <w:color w:val="000000"/>
        </w:rPr>
        <w:t>Do/should local regulations require the same phosphorus removal standards in UA vs outside of UA?</w:t>
      </w:r>
    </w:p>
    <w:p w:rsidR="00F355B2" w:rsidRDefault="00F355B2">
      <w:pPr>
        <w:spacing w:after="0" w:line="240" w:lineRule="auto"/>
      </w:pPr>
    </w:p>
    <w:p w:rsidR="00F355B2" w:rsidRDefault="001F33F4">
      <w:pPr>
        <w:spacing w:after="0" w:line="240" w:lineRule="auto"/>
      </w:pPr>
      <w:r>
        <w:rPr>
          <w:b/>
          <w:u w:val="single"/>
        </w:rPr>
        <w:t>Note:</w:t>
      </w:r>
      <w:r>
        <w:t xml:space="preserve">  A community can always elect to expand the PCP Area from only the Urbanized Area to the entire Charles River Watershed in their municipal bounds </w:t>
      </w:r>
      <w:r>
        <w:rPr>
          <w:i/>
        </w:rPr>
        <w:t>at a later phase of PCP planning</w:t>
      </w:r>
      <w:r>
        <w:t>; however, if you select your entire jurisdiction, you cannot go backwards.</w:t>
      </w:r>
    </w:p>
    <w:p w:rsidR="00F355B2" w:rsidRDefault="00F355B2">
      <w:pPr>
        <w:spacing w:after="0" w:line="240" w:lineRule="auto"/>
        <w:rPr>
          <w:b/>
        </w:rPr>
      </w:pPr>
    </w:p>
    <w:p w:rsidR="00F355B2" w:rsidRDefault="001F33F4">
      <w:pPr>
        <w:spacing w:after="0" w:line="240" w:lineRule="auto"/>
        <w:rPr>
          <w:b/>
        </w:rPr>
      </w:pPr>
      <w:r>
        <w:rPr>
          <w:b/>
        </w:rPr>
        <w:t xml:space="preserve">PCP Area: For use in Template </w:t>
      </w:r>
    </w:p>
    <w:p w:rsidR="00F355B2" w:rsidRDefault="001F33F4">
      <w:pPr>
        <w:spacing w:after="0" w:line="240" w:lineRule="auto"/>
      </w:pPr>
      <w:r>
        <w:t>Based on these instructions and considerations, select a PCP Area and enter your selection below:</w:t>
      </w:r>
    </w:p>
    <w:p w:rsidR="00F355B2" w:rsidRDefault="00F355B2">
      <w:pPr>
        <w:spacing w:after="0" w:line="240" w:lineRule="auto"/>
      </w:pPr>
    </w:p>
    <w:p w:rsidR="00F355B2" w:rsidRDefault="001F33F4">
      <w:pPr>
        <w:numPr>
          <w:ilvl w:val="0"/>
          <w:numId w:val="7"/>
        </w:numPr>
        <w:pBdr>
          <w:top w:val="nil"/>
          <w:left w:val="nil"/>
          <w:bottom w:val="nil"/>
          <w:right w:val="nil"/>
          <w:between w:val="nil"/>
        </w:pBdr>
        <w:spacing w:after="0" w:line="240" w:lineRule="auto"/>
        <w:rPr>
          <w:color w:val="000000"/>
        </w:rPr>
      </w:pPr>
      <w:r>
        <w:rPr>
          <w:color w:val="000000"/>
        </w:rPr>
        <w:t>Urbanized Area Only</w:t>
      </w:r>
    </w:p>
    <w:p w:rsidR="00F355B2" w:rsidRDefault="001F33F4">
      <w:pPr>
        <w:numPr>
          <w:ilvl w:val="0"/>
          <w:numId w:val="7"/>
        </w:numPr>
        <w:pBdr>
          <w:top w:val="nil"/>
          <w:left w:val="nil"/>
          <w:bottom w:val="nil"/>
          <w:right w:val="nil"/>
          <w:between w:val="nil"/>
        </w:pBdr>
        <w:spacing w:after="0" w:line="240" w:lineRule="auto"/>
      </w:pPr>
      <w:r>
        <w:rPr>
          <w:color w:val="000000"/>
        </w:rPr>
        <w:t xml:space="preserve">Entire </w:t>
      </w:r>
      <w:r>
        <w:t xml:space="preserve">Jurisdiction in the </w:t>
      </w:r>
      <w:r>
        <w:rPr>
          <w:color w:val="000000"/>
        </w:rPr>
        <w:t xml:space="preserve">Charles River Watershed </w:t>
      </w:r>
      <w:r>
        <w:rPr>
          <w:color w:val="000000"/>
        </w:rPr>
        <w:tab/>
      </w:r>
    </w:p>
    <w:p w:rsidR="00F355B2" w:rsidRDefault="001F33F4">
      <w:pPr>
        <w:numPr>
          <w:ilvl w:val="0"/>
          <w:numId w:val="7"/>
        </w:numPr>
        <w:pBdr>
          <w:top w:val="nil"/>
          <w:left w:val="nil"/>
          <w:bottom w:val="nil"/>
          <w:right w:val="nil"/>
          <w:between w:val="nil"/>
        </w:pBdr>
        <w:spacing w:after="0" w:line="240" w:lineRule="auto"/>
        <w:rPr>
          <w:color w:val="000000"/>
        </w:rPr>
      </w:pPr>
      <w:r>
        <w:rPr>
          <w:color w:val="000000"/>
        </w:rPr>
        <w:t>N/A no distinction</w:t>
      </w:r>
    </w:p>
    <w:p w:rsidR="00F355B2" w:rsidRDefault="00F355B2">
      <w:pPr>
        <w:spacing w:after="0" w:line="240" w:lineRule="auto"/>
      </w:pPr>
    </w:p>
    <w:p w:rsidR="00F355B2" w:rsidRDefault="001F33F4">
      <w:pPr>
        <w:spacing w:after="0" w:line="240" w:lineRule="auto"/>
      </w:pPr>
      <w:r>
        <w:t>Based on this selection, enter the associated values from either Table 3 or Table 4 into the table below. These values will be input into Tables 1-3 and 1-4 of your PCP. Note that the first column, “Item Number,” will be used throughout this Appendix and the PCP Template to track calculated values.</w:t>
      </w:r>
    </w:p>
    <w:p w:rsidR="00F355B2" w:rsidRDefault="00F355B2">
      <w:pPr>
        <w:spacing w:after="0" w:line="240" w:lineRule="auto"/>
      </w:pPr>
    </w:p>
    <w:p w:rsidR="00F355B2" w:rsidRDefault="001F33F4">
      <w:pPr>
        <w:keepNext/>
        <w:pBdr>
          <w:top w:val="nil"/>
          <w:left w:val="nil"/>
          <w:bottom w:val="nil"/>
          <w:right w:val="nil"/>
          <w:between w:val="nil"/>
        </w:pBdr>
        <w:spacing w:after="200" w:line="240" w:lineRule="auto"/>
        <w:jc w:val="center"/>
        <w:rPr>
          <w:color w:val="000000"/>
        </w:rPr>
      </w:pPr>
      <w:r>
        <w:rPr>
          <w:color w:val="000000"/>
        </w:rPr>
        <w:t>Table 2. Selected Phosphorus Load Characteristics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599"/>
        <w:gridCol w:w="2338"/>
        <w:gridCol w:w="2338"/>
      </w:tblGrid>
      <w:tr w:rsidR="00F355B2">
        <w:tc>
          <w:tcPr>
            <w:tcW w:w="1075" w:type="dxa"/>
            <w:shd w:val="clear" w:color="auto" w:fill="D9D9D9"/>
            <w:vAlign w:val="center"/>
          </w:tcPr>
          <w:p w:rsidR="00F355B2" w:rsidRDefault="001F33F4">
            <w:pPr>
              <w:spacing w:after="0" w:line="240" w:lineRule="auto"/>
              <w:jc w:val="center"/>
              <w:rPr>
                <w:b/>
              </w:rPr>
            </w:pPr>
            <w:r>
              <w:rPr>
                <w:b/>
              </w:rPr>
              <w:t>Item Number</w:t>
            </w:r>
          </w:p>
        </w:tc>
        <w:tc>
          <w:tcPr>
            <w:tcW w:w="3599" w:type="dxa"/>
            <w:shd w:val="clear" w:color="auto" w:fill="D9D9D9"/>
            <w:vAlign w:val="center"/>
          </w:tcPr>
          <w:p w:rsidR="00F355B2" w:rsidRDefault="001F33F4">
            <w:pPr>
              <w:spacing w:after="0" w:line="240" w:lineRule="auto"/>
              <w:jc w:val="center"/>
              <w:rPr>
                <w:b/>
              </w:rPr>
            </w:pPr>
            <w:r>
              <w:rPr>
                <w:b/>
              </w:rPr>
              <w:t>Name</w:t>
            </w:r>
          </w:p>
        </w:tc>
        <w:tc>
          <w:tcPr>
            <w:tcW w:w="2338" w:type="dxa"/>
            <w:shd w:val="clear" w:color="auto" w:fill="D9D9D9"/>
            <w:vAlign w:val="center"/>
          </w:tcPr>
          <w:p w:rsidR="00F355B2" w:rsidRDefault="001F33F4">
            <w:pPr>
              <w:spacing w:after="0" w:line="240" w:lineRule="auto"/>
              <w:jc w:val="center"/>
              <w:rPr>
                <w:b/>
              </w:rPr>
            </w:pPr>
            <w:proofErr w:type="spellStart"/>
            <w:r>
              <w:rPr>
                <w:b/>
              </w:rPr>
              <w:t>lbs</w:t>
            </w:r>
            <w:proofErr w:type="spellEnd"/>
            <w:r>
              <w:rPr>
                <w:b/>
              </w:rPr>
              <w:t>/</w:t>
            </w:r>
            <w:proofErr w:type="spellStart"/>
            <w:r>
              <w:rPr>
                <w:b/>
              </w:rPr>
              <w:t>yr</w:t>
            </w:r>
            <w:proofErr w:type="spellEnd"/>
            <w:r>
              <w:rPr>
                <w:b/>
              </w:rPr>
              <w:t xml:space="preserve"> </w:t>
            </w:r>
          </w:p>
          <w:p w:rsidR="00F355B2" w:rsidRDefault="001F33F4">
            <w:pPr>
              <w:spacing w:after="0" w:line="240" w:lineRule="auto"/>
              <w:jc w:val="center"/>
              <w:rPr>
                <w:b/>
              </w:rPr>
            </w:pPr>
            <w:r>
              <w:rPr>
                <w:b/>
              </w:rPr>
              <w:t>(convert values)</w:t>
            </w:r>
          </w:p>
        </w:tc>
        <w:tc>
          <w:tcPr>
            <w:tcW w:w="2338" w:type="dxa"/>
            <w:shd w:val="clear" w:color="auto" w:fill="D9D9D9"/>
            <w:vAlign w:val="center"/>
          </w:tcPr>
          <w:p w:rsidR="00F355B2" w:rsidRDefault="001F33F4">
            <w:pPr>
              <w:spacing w:after="0" w:line="240" w:lineRule="auto"/>
              <w:jc w:val="center"/>
              <w:rPr>
                <w:b/>
              </w:rPr>
            </w:pPr>
            <w:r>
              <w:rPr>
                <w:b/>
              </w:rPr>
              <w:t>kg/</w:t>
            </w:r>
            <w:proofErr w:type="spellStart"/>
            <w:r>
              <w:rPr>
                <w:b/>
              </w:rPr>
              <w:t>yr</w:t>
            </w:r>
            <w:proofErr w:type="spellEnd"/>
          </w:p>
          <w:p w:rsidR="00F355B2" w:rsidRDefault="001F33F4">
            <w:pPr>
              <w:spacing w:after="0" w:line="240" w:lineRule="auto"/>
              <w:jc w:val="center"/>
              <w:rPr>
                <w:b/>
              </w:rPr>
            </w:pPr>
            <w:r>
              <w:rPr>
                <w:b/>
              </w:rPr>
              <w:t>(copy from table)</w:t>
            </w:r>
          </w:p>
        </w:tc>
      </w:tr>
      <w:tr w:rsidR="00F355B2">
        <w:tc>
          <w:tcPr>
            <w:tcW w:w="1075" w:type="dxa"/>
          </w:tcPr>
          <w:p w:rsidR="00F355B2" w:rsidRDefault="001F33F4">
            <w:pPr>
              <w:spacing w:after="0" w:line="240" w:lineRule="auto"/>
              <w:jc w:val="center"/>
            </w:pPr>
            <w:r>
              <w:t>1.1</w:t>
            </w:r>
          </w:p>
        </w:tc>
        <w:tc>
          <w:tcPr>
            <w:tcW w:w="3599" w:type="dxa"/>
          </w:tcPr>
          <w:p w:rsidR="00F355B2" w:rsidRDefault="001F33F4">
            <w:pPr>
              <w:spacing w:after="0" w:line="240" w:lineRule="auto"/>
            </w:pPr>
            <w:r>
              <w:t>Baseline Phosphorus Load</w:t>
            </w:r>
          </w:p>
        </w:tc>
        <w:tc>
          <w:tcPr>
            <w:tcW w:w="2338" w:type="dxa"/>
          </w:tcPr>
          <w:p w:rsidR="00F355B2" w:rsidRDefault="00F355B2">
            <w:pPr>
              <w:spacing w:after="0" w:line="240" w:lineRule="auto"/>
            </w:pPr>
          </w:p>
        </w:tc>
        <w:tc>
          <w:tcPr>
            <w:tcW w:w="2338" w:type="dxa"/>
          </w:tcPr>
          <w:p w:rsidR="00F355B2" w:rsidRDefault="00F355B2">
            <w:pPr>
              <w:spacing w:after="0" w:line="240" w:lineRule="auto"/>
            </w:pPr>
          </w:p>
        </w:tc>
      </w:tr>
      <w:tr w:rsidR="00F355B2">
        <w:tc>
          <w:tcPr>
            <w:tcW w:w="1075" w:type="dxa"/>
          </w:tcPr>
          <w:p w:rsidR="00F355B2" w:rsidRDefault="001F33F4">
            <w:pPr>
              <w:spacing w:after="0" w:line="240" w:lineRule="auto"/>
              <w:jc w:val="center"/>
            </w:pPr>
            <w:r>
              <w:t>1.2</w:t>
            </w:r>
          </w:p>
        </w:tc>
        <w:tc>
          <w:tcPr>
            <w:tcW w:w="3599" w:type="dxa"/>
          </w:tcPr>
          <w:p w:rsidR="00F355B2" w:rsidRDefault="001F33F4">
            <w:pPr>
              <w:spacing w:after="0" w:line="240" w:lineRule="auto"/>
            </w:pPr>
            <w:r>
              <w:t>Stormwater Phosphorus Load Reduction Requirement</w:t>
            </w:r>
          </w:p>
        </w:tc>
        <w:tc>
          <w:tcPr>
            <w:tcW w:w="2338" w:type="dxa"/>
          </w:tcPr>
          <w:p w:rsidR="00F355B2" w:rsidRDefault="00F355B2">
            <w:pPr>
              <w:spacing w:after="0" w:line="240" w:lineRule="auto"/>
            </w:pPr>
          </w:p>
        </w:tc>
        <w:tc>
          <w:tcPr>
            <w:tcW w:w="2338" w:type="dxa"/>
          </w:tcPr>
          <w:p w:rsidR="00F355B2" w:rsidRDefault="00F355B2">
            <w:pPr>
              <w:spacing w:after="0" w:line="240" w:lineRule="auto"/>
            </w:pPr>
          </w:p>
        </w:tc>
      </w:tr>
      <w:tr w:rsidR="00F355B2">
        <w:tc>
          <w:tcPr>
            <w:tcW w:w="1075" w:type="dxa"/>
          </w:tcPr>
          <w:p w:rsidR="00F355B2" w:rsidRDefault="001F33F4">
            <w:pPr>
              <w:spacing w:after="0" w:line="240" w:lineRule="auto"/>
              <w:jc w:val="center"/>
            </w:pPr>
            <w:r>
              <w:lastRenderedPageBreak/>
              <w:t>1.3</w:t>
            </w:r>
          </w:p>
        </w:tc>
        <w:tc>
          <w:tcPr>
            <w:tcW w:w="3599" w:type="dxa"/>
          </w:tcPr>
          <w:p w:rsidR="00F355B2" w:rsidRDefault="001F33F4">
            <w:pPr>
              <w:spacing w:after="0" w:line="240" w:lineRule="auto"/>
            </w:pPr>
            <w:r>
              <w:t>Allowable Phosphorus Load</w:t>
            </w:r>
          </w:p>
        </w:tc>
        <w:tc>
          <w:tcPr>
            <w:tcW w:w="2338" w:type="dxa"/>
          </w:tcPr>
          <w:p w:rsidR="00F355B2" w:rsidRDefault="00F355B2">
            <w:pPr>
              <w:spacing w:after="0" w:line="240" w:lineRule="auto"/>
            </w:pPr>
          </w:p>
        </w:tc>
        <w:tc>
          <w:tcPr>
            <w:tcW w:w="2338" w:type="dxa"/>
          </w:tcPr>
          <w:p w:rsidR="00F355B2" w:rsidRDefault="00F355B2">
            <w:pPr>
              <w:spacing w:after="0" w:line="240" w:lineRule="auto"/>
            </w:pPr>
          </w:p>
        </w:tc>
      </w:tr>
      <w:tr w:rsidR="00F355B2">
        <w:tc>
          <w:tcPr>
            <w:tcW w:w="1075" w:type="dxa"/>
          </w:tcPr>
          <w:p w:rsidR="00F355B2" w:rsidRDefault="001F33F4">
            <w:pPr>
              <w:spacing w:after="0" w:line="240" w:lineRule="auto"/>
              <w:jc w:val="center"/>
            </w:pPr>
            <w:r>
              <w:t>1.4</w:t>
            </w:r>
          </w:p>
        </w:tc>
        <w:tc>
          <w:tcPr>
            <w:tcW w:w="3599" w:type="dxa"/>
          </w:tcPr>
          <w:p w:rsidR="00F355B2" w:rsidRDefault="001F33F4">
            <w:pPr>
              <w:spacing w:after="0" w:line="240" w:lineRule="auto"/>
            </w:pPr>
            <w:r>
              <w:t>Stormwater Percent Reduction in Phosphorus Load</w:t>
            </w:r>
          </w:p>
        </w:tc>
        <w:tc>
          <w:tcPr>
            <w:tcW w:w="2338" w:type="dxa"/>
          </w:tcPr>
          <w:p w:rsidR="00F355B2" w:rsidRDefault="00F355B2">
            <w:pPr>
              <w:spacing w:after="0" w:line="240" w:lineRule="auto"/>
            </w:pPr>
          </w:p>
        </w:tc>
        <w:tc>
          <w:tcPr>
            <w:tcW w:w="2338" w:type="dxa"/>
          </w:tcPr>
          <w:p w:rsidR="00F355B2" w:rsidRDefault="00F355B2">
            <w:pPr>
              <w:spacing w:after="0" w:line="240" w:lineRule="auto"/>
            </w:pPr>
          </w:p>
        </w:tc>
      </w:tr>
    </w:tbl>
    <w:p w:rsidR="00F355B2" w:rsidRDefault="00F355B2">
      <w:pPr>
        <w:pBdr>
          <w:top w:val="nil"/>
          <w:left w:val="nil"/>
          <w:bottom w:val="nil"/>
          <w:right w:val="nil"/>
          <w:between w:val="nil"/>
        </w:pBdr>
        <w:spacing w:after="0" w:line="240" w:lineRule="auto"/>
        <w:sectPr w:rsidR="00F35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rsidR="00F355B2" w:rsidRDefault="001F33F4">
      <w:pPr>
        <w:keepNext/>
        <w:pBdr>
          <w:top w:val="nil"/>
          <w:left w:val="nil"/>
          <w:bottom w:val="nil"/>
          <w:right w:val="nil"/>
          <w:between w:val="nil"/>
        </w:pBdr>
        <w:spacing w:after="200" w:line="240" w:lineRule="auto"/>
        <w:jc w:val="center"/>
        <w:rPr>
          <w:color w:val="000000"/>
        </w:rPr>
      </w:pPr>
      <w:bookmarkStart w:id="3" w:name="_heading=h.4d34og8" w:colFirst="0" w:colLast="0"/>
      <w:bookmarkEnd w:id="3"/>
      <w:r>
        <w:rPr>
          <w:color w:val="000000"/>
        </w:rPr>
        <w:lastRenderedPageBreak/>
        <w:t>Table 3. (Permit Table F-2) Community Annual Stormwater Phosphorus Load Reduction by Permittee, Charles River Watershed</w:t>
      </w:r>
    </w:p>
    <w:tbl>
      <w:tblPr>
        <w:tblStyle w:val="af1"/>
        <w:tblW w:w="14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701"/>
        <w:gridCol w:w="1800"/>
        <w:gridCol w:w="1710"/>
        <w:gridCol w:w="1710"/>
        <w:gridCol w:w="984"/>
        <w:gridCol w:w="985"/>
        <w:gridCol w:w="985"/>
        <w:gridCol w:w="984"/>
        <w:gridCol w:w="985"/>
        <w:gridCol w:w="985"/>
      </w:tblGrid>
      <w:tr w:rsidR="00F355B2">
        <w:trPr>
          <w:trHeight w:val="287"/>
          <w:tblHeader/>
        </w:trPr>
        <w:tc>
          <w:tcPr>
            <w:tcW w:w="171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Community</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Baseline Phosphorus Load, kg/</w:t>
            </w:r>
            <w:proofErr w:type="spellStart"/>
            <w:r>
              <w:rPr>
                <w:b/>
                <w:color w:val="000000"/>
              </w:rPr>
              <w:t>yr</w:t>
            </w:r>
            <w:proofErr w:type="spellEnd"/>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Phosphorus Load Reduction Requirement, kg/</w:t>
            </w:r>
            <w:proofErr w:type="spellStart"/>
            <w:r>
              <w:rPr>
                <w:b/>
                <w:color w:val="000000"/>
              </w:rPr>
              <w:t>yr</w:t>
            </w:r>
            <w:proofErr w:type="spellEnd"/>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Allowable Phosphorus Load, kg/</w:t>
            </w:r>
            <w:proofErr w:type="spellStart"/>
            <w:r>
              <w:rPr>
                <w:b/>
                <w:color w:val="000000"/>
              </w:rPr>
              <w:t>yr</w:t>
            </w:r>
            <w:proofErr w:type="spellEnd"/>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Percent Reduction in Phosphorus Load (%)</w:t>
            </w:r>
          </w:p>
        </w:tc>
        <w:tc>
          <w:tcPr>
            <w:tcW w:w="5908" w:type="dxa"/>
            <w:gridSpan w:val="6"/>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Phosphorus Load Reduction Requirement, kg/</w:t>
            </w:r>
            <w:proofErr w:type="spellStart"/>
            <w:r>
              <w:rPr>
                <w:b/>
                <w:color w:val="000000"/>
              </w:rPr>
              <w:t>yr</w:t>
            </w:r>
            <w:proofErr w:type="spellEnd"/>
          </w:p>
        </w:tc>
      </w:tr>
      <w:tr w:rsidR="00F355B2">
        <w:trPr>
          <w:trHeight w:val="289"/>
          <w:tblHeader/>
        </w:trPr>
        <w:tc>
          <w:tcPr>
            <w:tcW w:w="17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969"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1</w:t>
            </w:r>
          </w:p>
        </w:tc>
        <w:tc>
          <w:tcPr>
            <w:tcW w:w="1969"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2</w:t>
            </w:r>
          </w:p>
        </w:tc>
        <w:tc>
          <w:tcPr>
            <w:tcW w:w="1970"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3</w:t>
            </w:r>
          </w:p>
        </w:tc>
      </w:tr>
      <w:tr w:rsidR="00F355B2">
        <w:trPr>
          <w:trHeight w:val="551"/>
          <w:tblHeader/>
        </w:trPr>
        <w:tc>
          <w:tcPr>
            <w:tcW w:w="17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984"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8</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10</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13</w:t>
            </w:r>
          </w:p>
        </w:tc>
        <w:tc>
          <w:tcPr>
            <w:tcW w:w="984"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15</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18</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20</w:t>
            </w:r>
          </w:p>
        </w:tc>
      </w:tr>
      <w:tr w:rsidR="00F355B2">
        <w:trPr>
          <w:trHeight w:val="289"/>
          <w:tblHeader/>
        </w:trPr>
        <w:tc>
          <w:tcPr>
            <w:tcW w:w="17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984"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20%</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25%</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35%</w:t>
            </w:r>
          </w:p>
        </w:tc>
        <w:tc>
          <w:tcPr>
            <w:tcW w:w="984"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50%</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70%</w:t>
            </w:r>
          </w:p>
        </w:tc>
        <w:tc>
          <w:tcPr>
            <w:tcW w:w="985"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100%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Arlington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Ashland</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67</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Bellingham</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947</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549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99.5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139.3</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278.6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398</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Belmont</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36.75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73.5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9A455B">
            <w:pPr>
              <w:spacing w:after="0" w:line="240" w:lineRule="auto"/>
              <w:jc w:val="center"/>
              <w:rPr>
                <w:color w:val="000000"/>
              </w:rPr>
            </w:pPr>
            <w:hyperlink r:id="rId14">
              <w:r w:rsidR="001F33F4">
                <w:rPr>
                  <w:color w:val="000000"/>
                </w:rPr>
                <w:t>Boston</w:t>
              </w:r>
            </w:hyperlink>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6,886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4145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2741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1036.25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1450.75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2072.5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2901.5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4145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Brookline</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1,635</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968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59%</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193.6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338.8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677.6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968</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Cambridge</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512</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63.4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110.95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158.5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221.9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317</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Dedham</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805</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404</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101</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141.4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282.8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404</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Dover</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831</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652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63</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Foxborough</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Franklin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2,344</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1012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1332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43%</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253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354.2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708.4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1012</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Holliston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1,543</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1046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99.2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173.6</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347.2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496</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lastRenderedPageBreak/>
              <w:t>Hopedale</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107</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16.45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Hopkinton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292</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203</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31.15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89</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Lexington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530</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84.7</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121</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169.4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242</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Lincoln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593</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25.4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44.45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63.5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88.9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127</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Medfield</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955</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86.25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120.75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241.5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Medway</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1,063</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Mendon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Milford</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1,611</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161.8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283.15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404.5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566.3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809</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Millis</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969</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75.25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105.35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150.5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210.7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301</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Natick</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1,108</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622</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121.5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170.1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340.2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486</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Needham</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1,772</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974</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194.8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243.5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340.9</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681.8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974</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Newton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3,884</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2365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1519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591.25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827.75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1182.5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1655.5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2365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Norfolk</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1,004</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718</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71.5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100.1</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286</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lastRenderedPageBreak/>
              <w:t>Somerville</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646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Sherborn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846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690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54.6</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109.2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156</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Walpole</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159</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7.4</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12.95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25.9</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Waltham</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2,901</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1146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351</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438.75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614.25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877.5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1228.5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Watertown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1,127</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703</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424</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140.6</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246.05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351.5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492.1</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703</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Wayland</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13.3</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Wellesley</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1,431</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164.2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205.25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287.35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410.5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574.7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821</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Weston</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1,174</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375</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799</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93.75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131.25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375</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Westwood</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376</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226</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Wrentham</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618</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407</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73.5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210</w:t>
            </w:r>
          </w:p>
        </w:tc>
      </w:tr>
      <w:tr w:rsidR="00F355B2">
        <w:trPr>
          <w:trHeight w:val="289"/>
        </w:trPr>
        <w:tc>
          <w:tcPr>
            <w:tcW w:w="1714"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Mass-DCR</w:t>
            </w:r>
          </w:p>
        </w:tc>
        <w:tc>
          <w:tcPr>
            <w:tcW w:w="1701"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421</w:t>
            </w:r>
          </w:p>
        </w:tc>
        <w:tc>
          <w:tcPr>
            <w:tcW w:w="180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91</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330</w:t>
            </w:r>
          </w:p>
        </w:tc>
        <w:tc>
          <w:tcPr>
            <w:tcW w:w="1710"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18.2</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22.75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31.85</w:t>
            </w:r>
          </w:p>
        </w:tc>
        <w:tc>
          <w:tcPr>
            <w:tcW w:w="984"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45.5</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63.7</w:t>
            </w:r>
          </w:p>
        </w:tc>
        <w:tc>
          <w:tcPr>
            <w:tcW w:w="985"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91</w:t>
            </w:r>
          </w:p>
        </w:tc>
      </w:tr>
    </w:tbl>
    <w:p w:rsidR="00F355B2" w:rsidRDefault="00F355B2">
      <w:pPr>
        <w:spacing w:after="0" w:line="240" w:lineRule="auto"/>
      </w:pPr>
    </w:p>
    <w:p w:rsidR="00F355B2" w:rsidRDefault="00F355B2">
      <w:pPr>
        <w:spacing w:after="0" w:line="240" w:lineRule="auto"/>
      </w:pPr>
    </w:p>
    <w:p w:rsidR="00F355B2" w:rsidRDefault="001F33F4">
      <w:pPr>
        <w:keepNext/>
        <w:pBdr>
          <w:top w:val="nil"/>
          <w:left w:val="nil"/>
          <w:bottom w:val="nil"/>
          <w:right w:val="nil"/>
          <w:between w:val="nil"/>
        </w:pBdr>
        <w:spacing w:after="200" w:line="240" w:lineRule="auto"/>
        <w:jc w:val="center"/>
        <w:rPr>
          <w:color w:val="000000"/>
        </w:rPr>
      </w:pPr>
      <w:bookmarkStart w:id="4" w:name="_heading=h.2s8eyo1" w:colFirst="0" w:colLast="0"/>
      <w:bookmarkEnd w:id="4"/>
      <w:r>
        <w:rPr>
          <w:color w:val="000000"/>
        </w:rPr>
        <w:lastRenderedPageBreak/>
        <w:t>Table 4. (Permit Table F-3) Urbanized Area Annual Stormwater Phosphorus Load Reduction by Permittee, Charles River Watershed</w:t>
      </w:r>
    </w:p>
    <w:tbl>
      <w:tblPr>
        <w:tblStyle w:val="af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728"/>
        <w:gridCol w:w="1728"/>
        <w:gridCol w:w="1728"/>
        <w:gridCol w:w="1728"/>
        <w:gridCol w:w="977"/>
        <w:gridCol w:w="978"/>
        <w:gridCol w:w="977"/>
        <w:gridCol w:w="978"/>
        <w:gridCol w:w="977"/>
        <w:gridCol w:w="978"/>
      </w:tblGrid>
      <w:tr w:rsidR="00F355B2">
        <w:trPr>
          <w:trHeight w:val="287"/>
          <w:tblHeader/>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Community</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Baseline Phosphorus Load, kg/</w:t>
            </w:r>
            <w:proofErr w:type="spellStart"/>
            <w:r>
              <w:rPr>
                <w:b/>
                <w:color w:val="000000"/>
              </w:rPr>
              <w:t>yr</w:t>
            </w:r>
            <w:proofErr w:type="spellEnd"/>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Phosphorus Load Reduction Requirement, kg/</w:t>
            </w:r>
            <w:proofErr w:type="spellStart"/>
            <w:r>
              <w:rPr>
                <w:b/>
                <w:color w:val="000000"/>
              </w:rPr>
              <w:t>yr</w:t>
            </w:r>
            <w:proofErr w:type="spellEnd"/>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Allowable Phosphorus Load, kg/</w:t>
            </w:r>
            <w:proofErr w:type="spellStart"/>
            <w:r>
              <w:rPr>
                <w:b/>
                <w:color w:val="000000"/>
              </w:rPr>
              <w:t>yr</w:t>
            </w:r>
            <w:proofErr w:type="spellEnd"/>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Percent Reduction in Phosphorus Load (%)</w:t>
            </w:r>
          </w:p>
        </w:tc>
        <w:tc>
          <w:tcPr>
            <w:tcW w:w="5865" w:type="dxa"/>
            <w:gridSpan w:val="6"/>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Stormwater Phosphorus Load Reduction Requirement, kg/</w:t>
            </w:r>
            <w:proofErr w:type="spellStart"/>
            <w:r>
              <w:rPr>
                <w:b/>
                <w:color w:val="000000"/>
              </w:rPr>
              <w:t>yr</w:t>
            </w:r>
            <w:proofErr w:type="spellEnd"/>
          </w:p>
        </w:tc>
      </w:tr>
      <w:tr w:rsidR="00F355B2">
        <w:trPr>
          <w:trHeight w:val="287"/>
          <w:tblHeader/>
        </w:trPr>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955"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1</w:t>
            </w:r>
          </w:p>
        </w:tc>
        <w:tc>
          <w:tcPr>
            <w:tcW w:w="1955"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2</w:t>
            </w:r>
          </w:p>
        </w:tc>
        <w:tc>
          <w:tcPr>
            <w:tcW w:w="1955" w:type="dxa"/>
            <w:gridSpan w:val="2"/>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PCP Phase 3</w:t>
            </w:r>
          </w:p>
        </w:tc>
      </w:tr>
      <w:tr w:rsidR="00F355B2">
        <w:trPr>
          <w:trHeight w:val="555"/>
          <w:tblHeader/>
        </w:trPr>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8</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10</w:t>
            </w: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13</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15</w:t>
            </w: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18</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Permit Year 20</w:t>
            </w:r>
          </w:p>
        </w:tc>
      </w:tr>
      <w:tr w:rsidR="00F355B2">
        <w:trPr>
          <w:trHeight w:val="287"/>
          <w:tblHeader/>
        </w:trPr>
        <w:tc>
          <w:tcPr>
            <w:tcW w:w="17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F355B2">
            <w:pPr>
              <w:widowControl w:val="0"/>
              <w:pBdr>
                <w:top w:val="nil"/>
                <w:left w:val="nil"/>
                <w:bottom w:val="nil"/>
                <w:right w:val="nil"/>
                <w:between w:val="nil"/>
              </w:pBdr>
              <w:spacing w:after="0" w:line="276" w:lineRule="auto"/>
              <w:rPr>
                <w:b/>
                <w:color w:val="000000"/>
              </w:rPr>
            </w:pP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20%</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25%</w:t>
            </w: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35%</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50%</w:t>
            </w:r>
          </w:p>
        </w:tc>
        <w:tc>
          <w:tcPr>
            <w:tcW w:w="977"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70%</w:t>
            </w:r>
          </w:p>
        </w:tc>
        <w:tc>
          <w:tcPr>
            <w:tcW w:w="978" w:type="dxa"/>
            <w:tcBorders>
              <w:top w:val="nil"/>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100%</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Arlington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Ashland</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Bellingham</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88</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123.2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176</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246.4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352</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Belmont</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36.75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73.5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Boston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6886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4145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2741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1036.25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1450.75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2072.5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2901.5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4145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Brookline</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1,635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968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59%</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193.6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338.8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677.6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968</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Cambridge</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512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63.4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110.95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158.5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221.9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317</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Dedham</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141.4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282.8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404</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Dover</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28.7</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Foxborough</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0</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Franklin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2,312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1305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201.4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251.75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352.45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503.5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704.9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1007</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Holliston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1,359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892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93.2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116.5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163.1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233</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326.2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466</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lastRenderedPageBreak/>
              <w:t>Hopedale</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16.45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Hopkinton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88</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Lexington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84.35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120.5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168.7</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241</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Lincoln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58.8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84</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Medfield</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335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67</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83.75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117.25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234.5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335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Medway</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1,037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647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136.5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273</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390</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Mendon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Milford</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1,486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159.6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199.5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279.3</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399</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558.6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798</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Millis</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Natick</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994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456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538</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91.2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159.6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228</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319.2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456</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Needham</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1,771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194.8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243.5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340.9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487</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681.8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974</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Newton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3,884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2365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1519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473</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591.25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827.75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1182.5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1655.5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2365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Norfolk</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716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71.25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99.75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199.5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lastRenderedPageBreak/>
              <w:t>Somerville</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646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280</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400</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Sherborn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203</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52</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Walpole</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159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7.4</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12.95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25.9</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Waltham</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2,901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1146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438.75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614.25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877.5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1228.5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Watertown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1,127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703</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140.6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175.75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246.05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351.5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492.1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703</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Wayland</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27</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6.65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13.3</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Wellesley</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1,431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609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164.2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205.25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287.35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410.5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574.7</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821</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Weston</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1,174</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375</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799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93.75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131.25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187.5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262.5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375</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Westwood</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346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143</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203</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41%</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28.6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35.75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50.05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71.5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100.1</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143</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Wrentham</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556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196</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361</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39.2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49</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68.6</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98</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137.2</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196</w:t>
            </w:r>
          </w:p>
        </w:tc>
      </w:tr>
      <w:tr w:rsidR="00F355B2">
        <w:trPr>
          <w:trHeight w:val="287"/>
        </w:trPr>
        <w:tc>
          <w:tcPr>
            <w:tcW w:w="1708" w:type="dxa"/>
            <w:tcBorders>
              <w:top w:val="nil"/>
              <w:left w:val="single" w:sz="4" w:space="0" w:color="000000"/>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Mass DCR</w:t>
            </w:r>
          </w:p>
        </w:tc>
        <w:tc>
          <w:tcPr>
            <w:tcW w:w="1728" w:type="dxa"/>
            <w:tcBorders>
              <w:top w:val="nil"/>
              <w:left w:val="nil"/>
              <w:bottom w:val="single" w:sz="4" w:space="0" w:color="000000"/>
              <w:right w:val="single" w:sz="4" w:space="0" w:color="000000"/>
            </w:tcBorders>
            <w:shd w:val="clear" w:color="auto" w:fill="auto"/>
            <w:vAlign w:val="center"/>
          </w:tcPr>
          <w:p w:rsidR="00F355B2" w:rsidRDefault="001F33F4">
            <w:pPr>
              <w:spacing w:after="0" w:line="240" w:lineRule="auto"/>
              <w:jc w:val="center"/>
              <w:rPr>
                <w:color w:val="000000"/>
              </w:rPr>
            </w:pPr>
            <w:r>
              <w:rPr>
                <w:color w:val="000000"/>
              </w:rPr>
              <w:t>396</w:t>
            </w:r>
          </w:p>
        </w:tc>
        <w:tc>
          <w:tcPr>
            <w:tcW w:w="1728" w:type="dxa"/>
            <w:tcBorders>
              <w:top w:val="nil"/>
              <w:left w:val="nil"/>
              <w:bottom w:val="single" w:sz="4" w:space="0" w:color="000000"/>
              <w:right w:val="single" w:sz="4" w:space="0" w:color="000000"/>
            </w:tcBorders>
            <w:shd w:val="clear" w:color="auto" w:fill="auto"/>
            <w:vAlign w:val="center"/>
          </w:tcPr>
          <w:p w:rsidR="00F355B2" w:rsidRDefault="001F33F4">
            <w:pPr>
              <w:spacing w:after="0" w:line="240" w:lineRule="auto"/>
              <w:jc w:val="center"/>
              <w:rPr>
                <w:color w:val="000000"/>
              </w:rPr>
            </w:pPr>
            <w:r>
              <w:rPr>
                <w:color w:val="000000"/>
              </w:rPr>
              <w:t>89</w:t>
            </w:r>
          </w:p>
        </w:tc>
        <w:tc>
          <w:tcPr>
            <w:tcW w:w="172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307</w:t>
            </w:r>
          </w:p>
        </w:tc>
        <w:tc>
          <w:tcPr>
            <w:tcW w:w="1728" w:type="dxa"/>
            <w:tcBorders>
              <w:top w:val="nil"/>
              <w:left w:val="nil"/>
              <w:bottom w:val="single" w:sz="4" w:space="0" w:color="000000"/>
              <w:right w:val="single" w:sz="4" w:space="0" w:color="000000"/>
            </w:tcBorders>
            <w:shd w:val="clear" w:color="auto" w:fill="auto"/>
            <w:vAlign w:val="center"/>
          </w:tcPr>
          <w:p w:rsidR="00F355B2" w:rsidRDefault="001F33F4">
            <w:pPr>
              <w:spacing w:after="0" w:line="240" w:lineRule="auto"/>
              <w:jc w:val="center"/>
              <w:rPr>
                <w:color w:val="000000"/>
              </w:rPr>
            </w:pPr>
            <w:r>
              <w:rPr>
                <w:color w:val="000000"/>
              </w:rPr>
              <w:t>22%</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17.8</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22.25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31.15</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44.5</w:t>
            </w:r>
          </w:p>
        </w:tc>
        <w:tc>
          <w:tcPr>
            <w:tcW w:w="977"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62.3</w:t>
            </w:r>
          </w:p>
        </w:tc>
        <w:tc>
          <w:tcPr>
            <w:tcW w:w="978" w:type="dxa"/>
            <w:tcBorders>
              <w:top w:val="nil"/>
              <w:left w:val="nil"/>
              <w:bottom w:val="single" w:sz="4" w:space="0" w:color="000000"/>
              <w:right w:val="single" w:sz="4" w:space="0" w:color="000000"/>
            </w:tcBorders>
            <w:shd w:val="clear" w:color="auto" w:fill="FFFFFF"/>
            <w:vAlign w:val="center"/>
          </w:tcPr>
          <w:p w:rsidR="00F355B2" w:rsidRDefault="001F33F4">
            <w:pPr>
              <w:spacing w:after="0" w:line="240" w:lineRule="auto"/>
              <w:jc w:val="center"/>
              <w:rPr>
                <w:color w:val="000000"/>
              </w:rPr>
            </w:pPr>
            <w:r>
              <w:rPr>
                <w:color w:val="000000"/>
              </w:rPr>
              <w:t>89</w:t>
            </w:r>
          </w:p>
        </w:tc>
      </w:tr>
    </w:tbl>
    <w:p w:rsidR="00F355B2" w:rsidRDefault="00F355B2">
      <w:pPr>
        <w:pBdr>
          <w:top w:val="nil"/>
          <w:left w:val="nil"/>
          <w:bottom w:val="nil"/>
          <w:right w:val="nil"/>
          <w:between w:val="nil"/>
        </w:pBdr>
        <w:spacing w:after="0" w:line="240" w:lineRule="auto"/>
        <w:sectPr w:rsidR="00F355B2">
          <w:pgSz w:w="15840" w:h="12240" w:orient="landscape"/>
          <w:pgMar w:top="720" w:right="720" w:bottom="720" w:left="720" w:header="720" w:footer="720" w:gutter="0"/>
          <w:cols w:space="720"/>
        </w:sectPr>
      </w:pPr>
    </w:p>
    <w:p w:rsidR="00F355B2" w:rsidRDefault="001F33F4">
      <w:pPr>
        <w:pStyle w:val="Heading1"/>
        <w:numPr>
          <w:ilvl w:val="0"/>
          <w:numId w:val="4"/>
        </w:numPr>
      </w:pPr>
      <w:r>
        <w:lastRenderedPageBreak/>
        <w:t xml:space="preserve">Calculation Support for Structural and Non-Structural BMP Tracking </w:t>
      </w:r>
    </w:p>
    <w:p w:rsidR="00F355B2" w:rsidRDefault="00F355B2">
      <w:pPr>
        <w:pBdr>
          <w:top w:val="nil"/>
          <w:left w:val="nil"/>
          <w:bottom w:val="nil"/>
          <w:right w:val="nil"/>
          <w:between w:val="nil"/>
        </w:pBdr>
        <w:spacing w:after="0" w:line="240" w:lineRule="auto"/>
        <w:rPr>
          <w:color w:val="000000"/>
        </w:rPr>
      </w:pPr>
    </w:p>
    <w:p w:rsidR="00F355B2" w:rsidRDefault="001F33F4">
      <w:pPr>
        <w:pBdr>
          <w:top w:val="nil"/>
          <w:left w:val="nil"/>
          <w:bottom w:val="nil"/>
          <w:right w:val="nil"/>
          <w:between w:val="nil"/>
        </w:pBdr>
        <w:spacing w:after="0" w:line="240" w:lineRule="auto"/>
        <w:rPr>
          <w:color w:val="000000"/>
        </w:rPr>
      </w:pPr>
      <w:r>
        <w:rPr>
          <w:color w:val="000000"/>
          <w:u w:val="single"/>
        </w:rPr>
        <w:t>Goal</w:t>
      </w:r>
      <w:r>
        <w:rPr>
          <w:color w:val="000000"/>
        </w:rPr>
        <w:t>: Provide guidance to calculate phosphorus loads/credits for:</w:t>
      </w:r>
    </w:p>
    <w:p w:rsidR="00F355B2" w:rsidRDefault="001F33F4">
      <w:pPr>
        <w:numPr>
          <w:ilvl w:val="0"/>
          <w:numId w:val="6"/>
        </w:numPr>
        <w:pBdr>
          <w:top w:val="nil"/>
          <w:left w:val="nil"/>
          <w:bottom w:val="nil"/>
          <w:right w:val="nil"/>
          <w:between w:val="nil"/>
        </w:pBdr>
        <w:spacing w:after="0" w:line="240" w:lineRule="auto"/>
        <w:rPr>
          <w:color w:val="000000"/>
        </w:rPr>
      </w:pPr>
      <w:r>
        <w:rPr>
          <w:color w:val="000000"/>
        </w:rPr>
        <w:t xml:space="preserve">Land use, development, and impervious cover changes since 2005; and </w:t>
      </w:r>
    </w:p>
    <w:p w:rsidR="00F355B2" w:rsidRDefault="001F33F4">
      <w:pPr>
        <w:numPr>
          <w:ilvl w:val="0"/>
          <w:numId w:val="6"/>
        </w:numPr>
        <w:pBdr>
          <w:top w:val="nil"/>
          <w:left w:val="nil"/>
          <w:bottom w:val="nil"/>
          <w:right w:val="nil"/>
          <w:between w:val="nil"/>
        </w:pBdr>
        <w:spacing w:after="0" w:line="240" w:lineRule="auto"/>
        <w:rPr>
          <w:color w:val="000000"/>
        </w:rPr>
      </w:pPr>
      <w:r>
        <w:rPr>
          <w:color w:val="000000"/>
        </w:rPr>
        <w:t xml:space="preserve">Structural and non-structural BMPs. </w:t>
      </w:r>
    </w:p>
    <w:p w:rsidR="00F355B2" w:rsidRDefault="001F33F4">
      <w:pPr>
        <w:pBdr>
          <w:top w:val="nil"/>
          <w:left w:val="nil"/>
          <w:bottom w:val="nil"/>
          <w:right w:val="nil"/>
          <w:between w:val="nil"/>
        </w:pBdr>
        <w:spacing w:after="0" w:line="240" w:lineRule="auto"/>
        <w:rPr>
          <w:color w:val="000000"/>
        </w:rPr>
      </w:pPr>
      <w:r>
        <w:rPr>
          <w:color w:val="000000"/>
        </w:rPr>
        <w:t>The three sections of this worksheet will provide guidance for calculating both of these items. Additional guidance can be found in the</w:t>
      </w:r>
      <w:hyperlink r:id="rId15">
        <w:r>
          <w:rPr>
            <w:color w:val="000000"/>
          </w:rPr>
          <w:t xml:space="preserve"> PCP Training Workshop Series and Presentations</w:t>
        </w:r>
      </w:hyperlink>
      <w:r>
        <w:rPr>
          <w:color w:val="000000"/>
        </w:rPr>
        <w:t>.</w:t>
      </w:r>
    </w:p>
    <w:p w:rsidR="00F355B2" w:rsidRDefault="00F355B2">
      <w:pPr>
        <w:pBdr>
          <w:top w:val="nil"/>
          <w:left w:val="nil"/>
          <w:bottom w:val="nil"/>
          <w:right w:val="nil"/>
          <w:between w:val="nil"/>
        </w:pBdr>
        <w:spacing w:after="0" w:line="240" w:lineRule="auto"/>
        <w:rPr>
          <w:color w:val="000000"/>
        </w:rPr>
      </w:pPr>
    </w:p>
    <w:p w:rsidR="00F355B2" w:rsidRDefault="001F33F4">
      <w:r>
        <w:t>Most of the calculations here will need to be performed in an accounting tool while leveraging data within your municipality. A summary of potential inputs and calculation tools is provided in Table 5. The BMP Accounting and Tracking Tool (BATT) is strongly recommended for any calculations that will be used to document permit compliance. A more detailed resource summary is included Appendix R.4:</w:t>
      </w:r>
    </w:p>
    <w:p w:rsidR="00F355B2" w:rsidRDefault="001F33F4">
      <w:pPr>
        <w:keepNext/>
        <w:pBdr>
          <w:top w:val="nil"/>
          <w:left w:val="nil"/>
          <w:bottom w:val="nil"/>
          <w:right w:val="nil"/>
          <w:between w:val="nil"/>
        </w:pBdr>
        <w:spacing w:after="200" w:line="240" w:lineRule="auto"/>
        <w:jc w:val="center"/>
      </w:pPr>
      <w:bookmarkStart w:id="5" w:name="_heading=h.30j0zll" w:colFirst="0" w:colLast="0"/>
      <w:bookmarkEnd w:id="5"/>
      <w:r>
        <w:t>Table 5. Accounting Resources</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355B2">
        <w:tc>
          <w:tcPr>
            <w:tcW w:w="4675" w:type="dxa"/>
            <w:shd w:val="clear" w:color="auto" w:fill="auto"/>
          </w:tcPr>
          <w:p w:rsidR="00F355B2" w:rsidRDefault="001F33F4">
            <w:pPr>
              <w:spacing w:after="0" w:line="240" w:lineRule="auto"/>
              <w:jc w:val="center"/>
              <w:rPr>
                <w:u w:val="single"/>
              </w:rPr>
            </w:pPr>
            <w:r>
              <w:rPr>
                <w:u w:val="single"/>
              </w:rPr>
              <w:t>Potential Input Sources</w:t>
            </w:r>
          </w:p>
          <w:p w:rsidR="00F355B2" w:rsidRDefault="001F33F4">
            <w:pPr>
              <w:numPr>
                <w:ilvl w:val="0"/>
                <w:numId w:val="8"/>
              </w:numPr>
              <w:pBdr>
                <w:top w:val="nil"/>
                <w:left w:val="nil"/>
                <w:bottom w:val="nil"/>
                <w:right w:val="nil"/>
                <w:between w:val="nil"/>
              </w:pBdr>
              <w:spacing w:after="0"/>
            </w:pPr>
            <w:r>
              <w:rPr>
                <w:color w:val="000000"/>
              </w:rPr>
              <w:t>Town maps/ GIS data</w:t>
            </w:r>
          </w:p>
          <w:p w:rsidR="00F355B2" w:rsidRDefault="001F33F4">
            <w:pPr>
              <w:numPr>
                <w:ilvl w:val="0"/>
                <w:numId w:val="8"/>
              </w:numPr>
              <w:pBdr>
                <w:top w:val="nil"/>
                <w:left w:val="nil"/>
                <w:bottom w:val="nil"/>
                <w:right w:val="nil"/>
                <w:between w:val="nil"/>
              </w:pBdr>
              <w:spacing w:after="0"/>
            </w:pPr>
            <w:r>
              <w:rPr>
                <w:color w:val="000000"/>
              </w:rPr>
              <w:t>Oliver online tool</w:t>
            </w:r>
          </w:p>
          <w:p w:rsidR="00F355B2" w:rsidRDefault="001F33F4">
            <w:pPr>
              <w:numPr>
                <w:ilvl w:val="0"/>
                <w:numId w:val="8"/>
              </w:numPr>
              <w:pBdr>
                <w:top w:val="nil"/>
                <w:left w:val="nil"/>
                <w:bottom w:val="nil"/>
                <w:right w:val="nil"/>
                <w:between w:val="nil"/>
              </w:pBdr>
              <w:spacing w:after="0"/>
            </w:pPr>
            <w:proofErr w:type="spellStart"/>
            <w:r>
              <w:rPr>
                <w:color w:val="000000"/>
              </w:rPr>
              <w:t>MassGIS</w:t>
            </w:r>
            <w:proofErr w:type="spellEnd"/>
            <w:r>
              <w:rPr>
                <w:color w:val="000000"/>
              </w:rPr>
              <w:t xml:space="preserve"> land use (2005 vs 2016)</w:t>
            </w:r>
          </w:p>
          <w:p w:rsidR="00F355B2" w:rsidRDefault="001F33F4">
            <w:pPr>
              <w:numPr>
                <w:ilvl w:val="0"/>
                <w:numId w:val="8"/>
              </w:numPr>
              <w:pBdr>
                <w:top w:val="nil"/>
                <w:left w:val="nil"/>
                <w:bottom w:val="nil"/>
                <w:right w:val="nil"/>
                <w:between w:val="nil"/>
              </w:pBdr>
              <w:spacing w:after="0"/>
            </w:pPr>
            <w:proofErr w:type="spellStart"/>
            <w:r>
              <w:rPr>
                <w:color w:val="000000"/>
              </w:rPr>
              <w:t>MassGIS</w:t>
            </w:r>
            <w:proofErr w:type="spellEnd"/>
            <w:r>
              <w:rPr>
                <w:color w:val="000000"/>
              </w:rPr>
              <w:t xml:space="preserve"> impervious cover data (2005) and more recent impervious cover that is specific to a municipality</w:t>
            </w:r>
          </w:p>
          <w:p w:rsidR="00F355B2" w:rsidRDefault="001F33F4">
            <w:pPr>
              <w:numPr>
                <w:ilvl w:val="0"/>
                <w:numId w:val="8"/>
              </w:numPr>
              <w:pBdr>
                <w:top w:val="nil"/>
                <w:left w:val="nil"/>
                <w:bottom w:val="nil"/>
                <w:right w:val="nil"/>
                <w:between w:val="nil"/>
              </w:pBdr>
              <w:spacing w:after="0"/>
            </w:pPr>
            <w:r>
              <w:rPr>
                <w:color w:val="000000"/>
              </w:rPr>
              <w:t>Local permit filings (Stormwater Authority/ Agency, Planning Board Records, Conservation Commission NOIs, Board of Health review, etc.)</w:t>
            </w:r>
          </w:p>
          <w:p w:rsidR="00F355B2" w:rsidRDefault="001F33F4">
            <w:pPr>
              <w:numPr>
                <w:ilvl w:val="0"/>
                <w:numId w:val="8"/>
              </w:numPr>
              <w:pBdr>
                <w:top w:val="nil"/>
                <w:left w:val="nil"/>
                <w:bottom w:val="nil"/>
                <w:right w:val="nil"/>
                <w:between w:val="nil"/>
              </w:pBdr>
            </w:pPr>
            <w:r>
              <w:rPr>
                <w:color w:val="000000"/>
              </w:rPr>
              <w:t>Zoning, Conservation, and Public Works/ Engineering Records</w:t>
            </w:r>
          </w:p>
        </w:tc>
        <w:tc>
          <w:tcPr>
            <w:tcW w:w="4675" w:type="dxa"/>
            <w:shd w:val="clear" w:color="auto" w:fill="auto"/>
          </w:tcPr>
          <w:p w:rsidR="00F355B2" w:rsidRDefault="001F33F4">
            <w:pPr>
              <w:spacing w:after="0" w:line="240" w:lineRule="auto"/>
              <w:jc w:val="center"/>
              <w:rPr>
                <w:u w:val="single"/>
              </w:rPr>
            </w:pPr>
            <w:r>
              <w:rPr>
                <w:u w:val="single"/>
              </w:rPr>
              <w:t>Potential Methods to Perform Calculations</w:t>
            </w:r>
          </w:p>
          <w:p w:rsidR="00F355B2" w:rsidRDefault="001F33F4">
            <w:pPr>
              <w:numPr>
                <w:ilvl w:val="0"/>
                <w:numId w:val="8"/>
              </w:numPr>
              <w:pBdr>
                <w:top w:val="nil"/>
                <w:left w:val="nil"/>
                <w:bottom w:val="nil"/>
                <w:right w:val="nil"/>
                <w:between w:val="nil"/>
              </w:pBdr>
              <w:spacing w:after="0"/>
            </w:pPr>
            <w:r>
              <w:rPr>
                <w:color w:val="000000"/>
              </w:rPr>
              <w:t>MassDEP Watershed Based Planning Tool</w:t>
            </w:r>
          </w:p>
          <w:p w:rsidR="00F355B2" w:rsidRDefault="001F33F4">
            <w:pPr>
              <w:numPr>
                <w:ilvl w:val="0"/>
                <w:numId w:val="8"/>
              </w:numPr>
              <w:pBdr>
                <w:top w:val="nil"/>
                <w:left w:val="nil"/>
                <w:bottom w:val="nil"/>
                <w:right w:val="nil"/>
                <w:between w:val="nil"/>
              </w:pBdr>
              <w:spacing w:after="0"/>
            </w:pPr>
            <w:r>
              <w:rPr>
                <w:color w:val="000000"/>
              </w:rPr>
              <w:t xml:space="preserve">BMP Accounting and Tracking Tool (BATT) </w:t>
            </w:r>
          </w:p>
          <w:p w:rsidR="00F355B2" w:rsidRDefault="001F33F4">
            <w:pPr>
              <w:numPr>
                <w:ilvl w:val="0"/>
                <w:numId w:val="8"/>
              </w:numPr>
              <w:pBdr>
                <w:top w:val="nil"/>
                <w:left w:val="nil"/>
                <w:bottom w:val="nil"/>
                <w:right w:val="nil"/>
                <w:between w:val="nil"/>
              </w:pBdr>
              <w:spacing w:after="0"/>
            </w:pPr>
            <w:r>
              <w:t>UNHSC Simple Municipal tracking form</w:t>
            </w:r>
          </w:p>
          <w:p w:rsidR="00F355B2" w:rsidRDefault="00F355B2">
            <w:pPr>
              <w:spacing w:after="0"/>
              <w:ind w:left="720"/>
            </w:pPr>
          </w:p>
        </w:tc>
      </w:tr>
    </w:tbl>
    <w:p w:rsidR="00F355B2" w:rsidRDefault="00F355B2"/>
    <w:p w:rsidR="00F355B2" w:rsidRDefault="001F33F4">
      <w:pPr>
        <w:spacing w:after="0"/>
        <w:rPr>
          <w:b/>
        </w:rPr>
      </w:pPr>
      <w:r>
        <w:rPr>
          <w:b/>
        </w:rPr>
        <w:t>Part (2a). Changes to Land Use, Development, and Conversion of Impervious Cover from 2005 – 2022</w:t>
      </w:r>
    </w:p>
    <w:p w:rsidR="00F355B2" w:rsidRDefault="001F33F4">
      <w:pPr>
        <w:pBdr>
          <w:top w:val="nil"/>
          <w:left w:val="nil"/>
          <w:bottom w:val="nil"/>
          <w:right w:val="nil"/>
          <w:between w:val="nil"/>
        </w:pBdr>
        <w:spacing w:after="0"/>
        <w:rPr>
          <w:color w:val="000000"/>
        </w:rPr>
      </w:pPr>
      <w:r>
        <w:rPr>
          <w:color w:val="000000"/>
        </w:rPr>
        <w:t>Under the Performance Evaluation section in Appendix F, permittees are required to calculate “phosphorus export increases since 2005 due to development</w:t>
      </w:r>
      <w:r>
        <w:rPr>
          <w:color w:val="000000"/>
          <w:vertAlign w:val="superscript"/>
        </w:rPr>
        <w:footnoteReference w:id="1"/>
      </w:r>
      <w:r>
        <w:rPr>
          <w:color w:val="000000"/>
        </w:rPr>
        <w:t>” and augment their baseline loads accordingly. The PCP Area and Baseline selected in Worksheet 1 w</w:t>
      </w:r>
      <w:r>
        <w:t>ere</w:t>
      </w:r>
      <w:r>
        <w:rPr>
          <w:color w:val="000000"/>
        </w:rPr>
        <w:t xml:space="preserve"> calculated based on Phosphorus Loading Export Rates (PLERs) estimated from different land use/land cover types, and these can be used to make updates </w:t>
      </w:r>
      <w:r>
        <w:t>on</w:t>
      </w:r>
      <w:r>
        <w:rPr>
          <w:color w:val="000000"/>
        </w:rPr>
        <w:t xml:space="preserve"> the changes since 2005, as detailed in Attachment 1 to Appendix F of the Permit. </w:t>
      </w:r>
    </w:p>
    <w:p w:rsidR="00F355B2" w:rsidRDefault="00F355B2">
      <w:pPr>
        <w:pBdr>
          <w:top w:val="nil"/>
          <w:left w:val="nil"/>
          <w:bottom w:val="nil"/>
          <w:right w:val="nil"/>
          <w:between w:val="nil"/>
        </w:pBdr>
        <w:spacing w:after="0"/>
        <w:ind w:left="720"/>
        <w:rPr>
          <w:color w:val="000000"/>
        </w:rPr>
      </w:pPr>
    </w:p>
    <w:p w:rsidR="00F355B2" w:rsidRDefault="001F33F4">
      <w:pPr>
        <w:pBdr>
          <w:top w:val="nil"/>
          <w:left w:val="nil"/>
          <w:bottom w:val="nil"/>
          <w:right w:val="nil"/>
          <w:between w:val="nil"/>
        </w:pBdr>
        <w:spacing w:after="0"/>
        <w:ind w:left="720"/>
        <w:rPr>
          <w:color w:val="000000"/>
        </w:rPr>
      </w:pPr>
      <w:r>
        <w:rPr>
          <w:color w:val="000000"/>
        </w:rPr>
        <w:t xml:space="preserve">You will need to estimate the following items: </w:t>
      </w:r>
    </w:p>
    <w:p w:rsidR="00F355B2" w:rsidRDefault="001F33F4">
      <w:pPr>
        <w:numPr>
          <w:ilvl w:val="0"/>
          <w:numId w:val="3"/>
        </w:numPr>
        <w:pBdr>
          <w:top w:val="nil"/>
          <w:left w:val="nil"/>
          <w:bottom w:val="nil"/>
          <w:right w:val="nil"/>
          <w:between w:val="nil"/>
        </w:pBdr>
        <w:spacing w:after="0"/>
      </w:pPr>
      <w:r>
        <w:rPr>
          <w:color w:val="000000"/>
        </w:rPr>
        <w:t xml:space="preserve"> Acreage of net change to impervious cover since 2005, and</w:t>
      </w:r>
    </w:p>
    <w:p w:rsidR="00F355B2" w:rsidRDefault="001F33F4">
      <w:pPr>
        <w:numPr>
          <w:ilvl w:val="0"/>
          <w:numId w:val="3"/>
        </w:numPr>
        <w:pBdr>
          <w:top w:val="nil"/>
          <w:left w:val="nil"/>
          <w:bottom w:val="nil"/>
          <w:right w:val="nil"/>
          <w:between w:val="nil"/>
        </w:pBdr>
      </w:pPr>
      <w:r>
        <w:rPr>
          <w:color w:val="000000"/>
        </w:rPr>
        <w:t xml:space="preserve"> Acreage of changed land uses since 2005.</w:t>
      </w:r>
    </w:p>
    <w:p w:rsidR="00F355B2" w:rsidRDefault="001F33F4">
      <w:pPr>
        <w:pBdr>
          <w:top w:val="nil"/>
          <w:left w:val="nil"/>
          <w:bottom w:val="nil"/>
          <w:right w:val="nil"/>
          <w:between w:val="nil"/>
        </w:pBdr>
        <w:spacing w:after="0"/>
      </w:pPr>
      <w:r>
        <w:lastRenderedPageBreak/>
        <w:t xml:space="preserve">If you have in-house GIS capability, the easiest way to do this will likely be to compare </w:t>
      </w:r>
      <w:proofErr w:type="spellStart"/>
      <w:r>
        <w:t>MassGIS</w:t>
      </w:r>
      <w:proofErr w:type="spellEnd"/>
      <w:r>
        <w:t xml:space="preserve"> 2016 Land Cover/Land Use Layer to 2005 Land Use for your PCP Area to document the changes. You can also compare changes to impervious cover using </w:t>
      </w:r>
      <w:proofErr w:type="spellStart"/>
      <w:r>
        <w:t>MassGIS</w:t>
      </w:r>
      <w:proofErr w:type="spellEnd"/>
      <w:r>
        <w:t xml:space="preserve"> or locally available ortho/fly over imagery of impervious cover, or other locally managed GIS data.</w:t>
      </w:r>
    </w:p>
    <w:p w:rsidR="00F355B2" w:rsidRDefault="00F355B2">
      <w:pPr>
        <w:pBdr>
          <w:top w:val="nil"/>
          <w:left w:val="nil"/>
          <w:bottom w:val="nil"/>
          <w:right w:val="nil"/>
          <w:between w:val="nil"/>
        </w:pBdr>
        <w:spacing w:after="0"/>
      </w:pPr>
    </w:p>
    <w:p w:rsidR="00F355B2" w:rsidRDefault="001F33F4">
      <w:pPr>
        <w:pBdr>
          <w:top w:val="nil"/>
          <w:left w:val="nil"/>
          <w:bottom w:val="nil"/>
          <w:right w:val="nil"/>
          <w:between w:val="nil"/>
        </w:pBdr>
        <w:spacing w:after="0"/>
      </w:pPr>
      <w:r>
        <w:t xml:space="preserve">If you do not have GIS capabilities in house you can estimate changes based on changes at the site scale using: </w:t>
      </w:r>
    </w:p>
    <w:p w:rsidR="00F355B2" w:rsidRDefault="00F355B2">
      <w:pPr>
        <w:pBdr>
          <w:top w:val="nil"/>
          <w:left w:val="nil"/>
          <w:bottom w:val="nil"/>
          <w:right w:val="nil"/>
          <w:between w:val="nil"/>
        </w:pBdr>
        <w:spacing w:after="0"/>
      </w:pPr>
    </w:p>
    <w:p w:rsidR="00F355B2" w:rsidRDefault="001F33F4">
      <w:pPr>
        <w:numPr>
          <w:ilvl w:val="0"/>
          <w:numId w:val="2"/>
        </w:numPr>
        <w:pBdr>
          <w:top w:val="nil"/>
          <w:left w:val="nil"/>
          <w:bottom w:val="nil"/>
          <w:right w:val="nil"/>
          <w:between w:val="nil"/>
        </w:pBdr>
        <w:spacing w:after="0"/>
        <w:rPr>
          <w:color w:val="000000"/>
        </w:rPr>
      </w:pPr>
      <w:r>
        <w:rPr>
          <w:color w:val="000000"/>
        </w:rPr>
        <w:t>Planning Board plans and records</w:t>
      </w:r>
    </w:p>
    <w:p w:rsidR="00F355B2" w:rsidRDefault="001F33F4">
      <w:pPr>
        <w:numPr>
          <w:ilvl w:val="0"/>
          <w:numId w:val="2"/>
        </w:numPr>
        <w:pBdr>
          <w:top w:val="nil"/>
          <w:left w:val="nil"/>
          <w:bottom w:val="nil"/>
          <w:right w:val="nil"/>
          <w:between w:val="nil"/>
        </w:pBdr>
        <w:rPr>
          <w:color w:val="000000"/>
        </w:rPr>
      </w:pPr>
      <w:r>
        <w:rPr>
          <w:color w:val="000000"/>
        </w:rPr>
        <w:t>Zoning Board plans and records</w:t>
      </w:r>
    </w:p>
    <w:p w:rsidR="00F355B2" w:rsidRDefault="001F33F4">
      <w:r>
        <w:t>Tip/Trick: If you do not have GIS capacity in house nor the funds to hire out this analysis you could consider getting assistance with this task from a local university at this stage in your planning process as this is a recommended estimate. This activity is required under the Permit in Years 6 and 7 under the Performance Evaluation. However, we recommend completing this now, as it will be beneficial to understand how impervious cover and development since 2005 impacts your progress towards the reduction target early on.</w:t>
      </w:r>
    </w:p>
    <w:p w:rsidR="00F355B2" w:rsidRDefault="001F33F4">
      <w:r>
        <w:t>Land areas, in acres, for each land use type can be calculated by following the guidance provided by Workshop #1 of the PCP training workshop series. This will use the PLERs in Attachment 1 to calculate the changes in phosphorus loading based on the different land use types.</w:t>
      </w:r>
    </w:p>
    <w:p w:rsidR="00F355B2" w:rsidRDefault="001F33F4">
      <w:pPr>
        <w:spacing w:after="0"/>
        <w:rPr>
          <w:b/>
        </w:rPr>
      </w:pPr>
      <w:r>
        <w:rPr>
          <w:b/>
        </w:rPr>
        <w:t xml:space="preserve">Item 2.1: Report the net change in phosphorus loading from land use change: ________ </w:t>
      </w:r>
      <w:proofErr w:type="spellStart"/>
      <w:r>
        <w:rPr>
          <w:b/>
        </w:rPr>
        <w:t>lb</w:t>
      </w:r>
      <w:proofErr w:type="spellEnd"/>
      <w:r>
        <w:rPr>
          <w:b/>
        </w:rPr>
        <w:t>/</w:t>
      </w:r>
      <w:proofErr w:type="spellStart"/>
      <w:r>
        <w:rPr>
          <w:b/>
        </w:rPr>
        <w:t>yr</w:t>
      </w:r>
      <w:proofErr w:type="spellEnd"/>
      <w:r>
        <w:rPr>
          <w:b/>
        </w:rPr>
        <w:t xml:space="preserve"> (note whether it’s in increase (+) or a decrease (-))</w:t>
      </w:r>
    </w:p>
    <w:p w:rsidR="00F355B2" w:rsidRDefault="00F355B2">
      <w:pPr>
        <w:spacing w:after="0"/>
      </w:pPr>
    </w:p>
    <w:p w:rsidR="00F355B2" w:rsidRDefault="001F33F4">
      <w:r>
        <w:t>This change will be used to calculate your current phosphorus load, which will update the total amount of phosphorus that must be mitigated to meet your Allowable Phosphorus Load selected in Worksheet 1. Use the value above (Item 2.1) and the results from Worksheet 1 to fill in Table 6. For simplicity of calculation, we ask you to re-report the values determined on Worksheet 1.</w:t>
      </w:r>
    </w:p>
    <w:p w:rsidR="00F355B2" w:rsidRDefault="001F33F4">
      <w:pPr>
        <w:keepNext/>
        <w:pBdr>
          <w:top w:val="nil"/>
          <w:left w:val="nil"/>
          <w:bottom w:val="nil"/>
          <w:right w:val="nil"/>
          <w:between w:val="nil"/>
        </w:pBdr>
        <w:spacing w:after="200" w:line="240" w:lineRule="auto"/>
        <w:jc w:val="center"/>
        <w:rPr>
          <w:color w:val="000000"/>
        </w:rPr>
      </w:pPr>
      <w:r>
        <w:rPr>
          <w:color w:val="000000"/>
        </w:rPr>
        <w:t>Table 6. Phosphorus Loads Reflecting Current Conditions</w:t>
      </w:r>
    </w:p>
    <w:tbl>
      <w:tblPr>
        <w:tblStyle w:val="af4"/>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4"/>
        <w:gridCol w:w="4560"/>
      </w:tblGrid>
      <w:tr w:rsidR="00F355B2">
        <w:trPr>
          <w:trHeight w:val="21"/>
        </w:trPr>
        <w:tc>
          <w:tcPr>
            <w:tcW w:w="49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sz w:val="20"/>
                <w:szCs w:val="20"/>
              </w:rPr>
            </w:pPr>
            <w:r>
              <w:rPr>
                <w:b/>
                <w:color w:val="000000"/>
                <w:sz w:val="20"/>
                <w:szCs w:val="20"/>
              </w:rPr>
              <w:t>Condition</w:t>
            </w:r>
          </w:p>
        </w:tc>
        <w:tc>
          <w:tcPr>
            <w:tcW w:w="4560" w:type="dxa"/>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sz w:val="20"/>
                <w:szCs w:val="20"/>
              </w:rPr>
            </w:pPr>
            <w:r>
              <w:rPr>
                <w:b/>
                <w:color w:val="000000"/>
                <w:sz w:val="20"/>
                <w:szCs w:val="20"/>
              </w:rPr>
              <w:t>Value</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sz w:val="20"/>
                <w:szCs w:val="20"/>
              </w:rPr>
            </w:pPr>
            <w:r>
              <w:rPr>
                <w:b/>
                <w:sz w:val="20"/>
                <w:szCs w:val="20"/>
              </w:rPr>
              <w:t xml:space="preserve">Baseline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1.1]</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sz w:val="20"/>
                <w:szCs w:val="20"/>
              </w:rPr>
            </w:pPr>
            <w:r>
              <w:rPr>
                <w:b/>
                <w:sz w:val="20"/>
                <w:szCs w:val="20"/>
              </w:rPr>
              <w:t xml:space="preserve">Allowable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1.3]</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sz w:val="20"/>
                <w:szCs w:val="20"/>
              </w:rPr>
            </w:pPr>
            <w:r>
              <w:rPr>
                <w:b/>
                <w:sz w:val="20"/>
                <w:szCs w:val="20"/>
              </w:rPr>
              <w:t xml:space="preserve">Stormwater P-Load Reduction Requirement, </w:t>
            </w:r>
            <w:proofErr w:type="spellStart"/>
            <w:r>
              <w:rPr>
                <w:b/>
                <w:sz w:val="20"/>
                <w:szCs w:val="20"/>
              </w:rPr>
              <w:t>lbs</w:t>
            </w:r>
            <w:proofErr w:type="spellEnd"/>
            <w:r>
              <w:rPr>
                <w:b/>
                <w:sz w:val="20"/>
                <w:szCs w:val="20"/>
              </w:rPr>
              <w:t>/yr</w:t>
            </w:r>
            <w:r>
              <w:rPr>
                <w:b/>
                <w:sz w:val="20"/>
                <w:szCs w:val="20"/>
                <w:vertAlign w:val="superscript"/>
              </w:rPr>
              <w:t>3</w:t>
            </w:r>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1.2]</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sz w:val="20"/>
                <w:szCs w:val="20"/>
              </w:rPr>
            </w:pPr>
            <w:r>
              <w:rPr>
                <w:b/>
                <w:sz w:val="20"/>
                <w:szCs w:val="20"/>
              </w:rPr>
              <w:t>Changes in P-Load Since 2005 (P-</w:t>
            </w:r>
            <w:proofErr w:type="spellStart"/>
            <w:r>
              <w:rPr>
                <w:b/>
                <w:sz w:val="20"/>
                <w:szCs w:val="20"/>
              </w:rPr>
              <w:t>inc</w:t>
            </w:r>
            <w:proofErr w:type="spellEnd"/>
            <w:r>
              <w:rPr>
                <w:b/>
                <w:sz w:val="20"/>
                <w:szCs w:val="20"/>
              </w:rPr>
              <w:t xml:space="preserve">),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2.1]</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sz w:val="20"/>
                <w:szCs w:val="20"/>
              </w:rPr>
            </w:pPr>
            <w:r>
              <w:rPr>
                <w:b/>
                <w:sz w:val="20"/>
                <w:szCs w:val="20"/>
              </w:rPr>
              <w:t xml:space="preserve">Current P-Load,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2.2 = [Item 1.1 + Item 2.1]</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sz w:val="20"/>
                <w:szCs w:val="20"/>
              </w:rPr>
            </w:pPr>
            <w:bookmarkStart w:id="7" w:name="_heading=h.17dp8vu" w:colFirst="0" w:colLast="0"/>
            <w:bookmarkEnd w:id="7"/>
            <w:r>
              <w:rPr>
                <w:b/>
                <w:sz w:val="20"/>
                <w:szCs w:val="20"/>
              </w:rPr>
              <w:t xml:space="preserve">Current Stormwater P-Load Reduction Requirement,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Item 2.3 = [Item 2.2 – Item 1.3]</w:t>
            </w:r>
          </w:p>
        </w:tc>
      </w:tr>
      <w:tr w:rsidR="00F355B2">
        <w:trPr>
          <w:trHeight w:val="227"/>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sz w:val="20"/>
                <w:szCs w:val="20"/>
              </w:rPr>
            </w:pPr>
            <w:r>
              <w:rPr>
                <w:b/>
                <w:sz w:val="20"/>
                <w:szCs w:val="20"/>
              </w:rPr>
              <w:t xml:space="preserve">Year 8 Milestone: 20%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0.2 * [Item 2.3]</w:t>
            </w:r>
          </w:p>
        </w:tc>
      </w:tr>
      <w:tr w:rsidR="00F355B2">
        <w:trPr>
          <w:trHeight w:val="21"/>
        </w:trPr>
        <w:tc>
          <w:tcPr>
            <w:tcW w:w="4954"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sz w:val="20"/>
                <w:szCs w:val="20"/>
              </w:rPr>
            </w:pPr>
            <w:r>
              <w:rPr>
                <w:b/>
                <w:sz w:val="20"/>
                <w:szCs w:val="20"/>
              </w:rPr>
              <w:lastRenderedPageBreak/>
              <w:t xml:space="preserve">Year 10 Milestone: 25% of Reduction, in </w:t>
            </w:r>
            <w:proofErr w:type="spellStart"/>
            <w:r>
              <w:rPr>
                <w:b/>
                <w:sz w:val="20"/>
                <w:szCs w:val="20"/>
              </w:rPr>
              <w:t>lbs</w:t>
            </w:r>
            <w:proofErr w:type="spellEnd"/>
            <w:r>
              <w:rPr>
                <w:b/>
                <w:sz w:val="20"/>
                <w:szCs w:val="20"/>
              </w:rPr>
              <w:t>/</w:t>
            </w:r>
            <w:proofErr w:type="spellStart"/>
            <w:r>
              <w:rPr>
                <w:b/>
                <w:sz w:val="20"/>
                <w:szCs w:val="20"/>
              </w:rPr>
              <w:t>yr</w:t>
            </w:r>
            <w:proofErr w:type="spellEnd"/>
          </w:p>
        </w:tc>
        <w:tc>
          <w:tcPr>
            <w:tcW w:w="4560"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sz w:val="20"/>
                <w:szCs w:val="20"/>
              </w:rPr>
            </w:pPr>
            <w:r>
              <w:rPr>
                <w:i/>
                <w:color w:val="000000"/>
                <w:sz w:val="20"/>
                <w:szCs w:val="20"/>
              </w:rPr>
              <w:t>0.25 * [Item 2.3]</w:t>
            </w:r>
          </w:p>
        </w:tc>
      </w:tr>
    </w:tbl>
    <w:p w:rsidR="00F355B2" w:rsidRDefault="00F355B2"/>
    <w:p w:rsidR="00F355B2" w:rsidRDefault="001F33F4">
      <w:pPr>
        <w:spacing w:after="0"/>
        <w:rPr>
          <w:b/>
        </w:rPr>
      </w:pPr>
      <w:r>
        <w:rPr>
          <w:b/>
        </w:rPr>
        <w:t>Part (2b). Non-Structural BMP Calculation for Current Practices</w:t>
      </w:r>
    </w:p>
    <w:p w:rsidR="00F355B2" w:rsidRDefault="001F33F4">
      <w:pPr>
        <w:ind w:left="720"/>
      </w:pPr>
      <w:r>
        <w:t>Appendix F also allows municipalities to take credit for any enhanced non-structural BMPs that are currently in practice. Step (2b) focuses on the three non-structural BMPs for which permittees can receive credit: street sweeping, catch basin cleaning, and yard waste/leaf litter collection. See Workshop #2 showing steps for Non-Structural BMP calculation and Permit Appendix F Attachment 2 excerpts detailing what may be credited.</w:t>
      </w:r>
    </w:p>
    <w:p w:rsidR="00F355B2" w:rsidRDefault="001F33F4">
      <w:pPr>
        <w:ind w:left="720"/>
      </w:pPr>
      <w:r>
        <w:rPr>
          <w:color w:val="000000"/>
        </w:rPr>
        <w:t xml:space="preserve">First, we recommend you calculate your credits from </w:t>
      </w:r>
      <w:r>
        <w:rPr>
          <w:b/>
          <w:i/>
          <w:color w:val="000000"/>
        </w:rPr>
        <w:t>existing</w:t>
      </w:r>
      <w:r>
        <w:rPr>
          <w:color w:val="000000"/>
        </w:rPr>
        <w:t xml:space="preserve"> BMPs to better understand what portion of your Stormwater Phosphorus Load Reduction (determined in Worksheet 1 </w:t>
      </w:r>
      <w:r>
        <w:t>of this appendix</w:t>
      </w:r>
      <w:r>
        <w:rPr>
          <w:color w:val="000000"/>
        </w:rPr>
        <w:t xml:space="preserve">) you are currently getting credit for. Then, the guidance provided here and in </w:t>
      </w:r>
      <w:hyperlink r:id="rId16">
        <w:r>
          <w:rPr>
            <w:color w:val="000000"/>
          </w:rPr>
          <w:t>Workshop #2 presentation (Slides 10-15)</w:t>
        </w:r>
      </w:hyperlink>
      <w:r>
        <w:rPr>
          <w:color w:val="000000"/>
        </w:rPr>
        <w:t xml:space="preserve"> can also be used to estimate and track credits for </w:t>
      </w:r>
      <w:r>
        <w:rPr>
          <w:b/>
          <w:i/>
          <w:color w:val="000000"/>
        </w:rPr>
        <w:t xml:space="preserve">planned </w:t>
      </w:r>
      <w:r>
        <w:rPr>
          <w:color w:val="000000"/>
        </w:rPr>
        <w:t>BMPs.</w:t>
      </w:r>
    </w:p>
    <w:p w:rsidR="00F355B2" w:rsidRDefault="001F33F4">
      <w:pPr>
        <w:spacing w:after="0"/>
        <w:ind w:left="720"/>
        <w:rPr>
          <w:i/>
        </w:rPr>
      </w:pPr>
      <w:r>
        <w:rPr>
          <w:i/>
        </w:rPr>
        <w:t>From the permit:</w:t>
      </w:r>
    </w:p>
    <w:p w:rsidR="00F355B2" w:rsidRDefault="00F355B2">
      <w:pPr>
        <w:spacing w:after="0"/>
        <w:ind w:left="720"/>
        <w:rPr>
          <w:i/>
          <w:u w:val="single"/>
        </w:rPr>
      </w:pPr>
    </w:p>
    <w:p w:rsidR="00F355B2" w:rsidRDefault="001F33F4">
      <w:pPr>
        <w:spacing w:after="0"/>
        <w:ind w:left="720"/>
        <w:rPr>
          <w:i/>
        </w:rPr>
      </w:pPr>
      <w:r>
        <w:rPr>
          <w:i/>
          <w:u w:val="single"/>
        </w:rPr>
        <w:t>Street Sweeping:</w:t>
      </w:r>
      <w:r>
        <w:rPr>
          <w:i/>
        </w:rPr>
        <w:t xml:space="preserve"> For full credit for monthly and weekly sweeping frequencies, sweeping must be conducted year-round. If not, an adjustment factor will be used</w:t>
      </w:r>
      <w:r>
        <w:rPr>
          <w:i/>
          <w:vertAlign w:val="superscript"/>
        </w:rPr>
        <w:footnoteReference w:id="2"/>
      </w:r>
      <w:r>
        <w:rPr>
          <w:i/>
        </w:rPr>
        <w:t>. The following frequencies are considered enhanced:</w:t>
      </w:r>
    </w:p>
    <w:p w:rsidR="00F355B2" w:rsidRDefault="001F33F4">
      <w:pPr>
        <w:numPr>
          <w:ilvl w:val="0"/>
          <w:numId w:val="5"/>
        </w:numPr>
        <w:pBdr>
          <w:top w:val="nil"/>
          <w:left w:val="nil"/>
          <w:bottom w:val="nil"/>
          <w:right w:val="nil"/>
          <w:between w:val="nil"/>
        </w:pBdr>
        <w:spacing w:after="0"/>
        <w:rPr>
          <w:i/>
        </w:rPr>
      </w:pPr>
      <w:r>
        <w:rPr>
          <w:i/>
          <w:color w:val="000000"/>
        </w:rPr>
        <w:t>2 times / year</w:t>
      </w:r>
    </w:p>
    <w:p w:rsidR="00F355B2" w:rsidRDefault="001F33F4">
      <w:pPr>
        <w:numPr>
          <w:ilvl w:val="0"/>
          <w:numId w:val="5"/>
        </w:numPr>
        <w:pBdr>
          <w:top w:val="nil"/>
          <w:left w:val="nil"/>
          <w:bottom w:val="nil"/>
          <w:right w:val="nil"/>
          <w:between w:val="nil"/>
        </w:pBdr>
        <w:spacing w:after="0"/>
        <w:rPr>
          <w:i/>
        </w:rPr>
      </w:pPr>
      <w:r>
        <w:rPr>
          <w:i/>
          <w:color w:val="000000"/>
        </w:rPr>
        <w:t>Monthly</w:t>
      </w:r>
    </w:p>
    <w:p w:rsidR="00F355B2" w:rsidRDefault="001F33F4">
      <w:pPr>
        <w:numPr>
          <w:ilvl w:val="0"/>
          <w:numId w:val="5"/>
        </w:numPr>
        <w:pBdr>
          <w:top w:val="nil"/>
          <w:left w:val="nil"/>
          <w:bottom w:val="nil"/>
          <w:right w:val="nil"/>
          <w:between w:val="nil"/>
        </w:pBdr>
        <w:rPr>
          <w:i/>
        </w:rPr>
      </w:pPr>
      <w:r>
        <w:rPr>
          <w:i/>
          <w:color w:val="000000"/>
        </w:rPr>
        <w:t xml:space="preserve">Weekly </w:t>
      </w:r>
    </w:p>
    <w:p w:rsidR="00F355B2" w:rsidRDefault="001F33F4">
      <w:pPr>
        <w:ind w:left="720"/>
        <w:rPr>
          <w:i/>
        </w:rPr>
      </w:pPr>
      <w:r>
        <w:rPr>
          <w:i/>
          <w:u w:val="single"/>
        </w:rPr>
        <w:t>Catch Basin Cleaning:</w:t>
      </w:r>
      <w:r>
        <w:rPr>
          <w:i/>
        </w:rPr>
        <w:t xml:space="preserve"> To take credit, you must maintain a minimum sump storage capacity of 50% throughout the year, and clean catch basins semi-annually. Note that impervious areas eligible for this credit are principally streets.</w:t>
      </w:r>
    </w:p>
    <w:p w:rsidR="00F355B2" w:rsidRDefault="001F33F4">
      <w:pPr>
        <w:ind w:left="720"/>
        <w:rPr>
          <w:i/>
        </w:rPr>
      </w:pPr>
      <w:r>
        <w:rPr>
          <w:i/>
          <w:u w:val="single"/>
        </w:rPr>
        <w:t>Enhanced Organic Waste and Leaf Litter Collection Program:</w:t>
      </w:r>
      <w:r>
        <w:rPr>
          <w:i/>
        </w:rPr>
        <w:t xml:space="preserve"> In order to earn this credit (Credit leaf litter), the permittee must gather and remove all landscaping wastes, organic debris, and leaf litter from impervious roadways and parking lots at least once per week during the period of September 1 to December 1 of each year. Credit can only be earned for those impervious surfaces that are cleared of organic materials in accordance with the description above. The gathering and removal shall occur immediately following any landscaping activities in the Watershed and at additional times when necessary to achieve a weekly cleaning frequency. The permittee must ensure that the disposal of these materials will not contribute pollutants to any surface water discharges. The permittee may use an enhanced sweeping program (e.g., weekly frequency) as part of earning this credit provided that the sweeping is effective at removing leaf litter and organic materials.</w:t>
      </w:r>
      <w:r>
        <w:rPr>
          <w:i/>
          <w:vertAlign w:val="superscript"/>
        </w:rPr>
        <w:footnoteReference w:id="3"/>
      </w:r>
      <w:r>
        <w:rPr>
          <w:color w:val="000000"/>
        </w:rPr>
        <w:t xml:space="preserve"> </w:t>
      </w:r>
    </w:p>
    <w:p w:rsidR="00F355B2" w:rsidRDefault="001F33F4">
      <w:pPr>
        <w:ind w:left="720"/>
      </w:pPr>
      <w:r>
        <w:t>Tip from Workshop #2:</w:t>
      </w:r>
    </w:p>
    <w:p w:rsidR="00F355B2" w:rsidRDefault="001F33F4">
      <w:pPr>
        <w:ind w:left="720"/>
      </w:pPr>
      <w:r>
        <w:rPr>
          <w:color w:val="000000"/>
        </w:rPr>
        <w:lastRenderedPageBreak/>
        <w:t xml:space="preserve">To perform Street Sweeping credits calculations, the permittee will need an edge of pavement GIS layer (polygon) that must be segmented based on equipment type and sweeping frequency. If using the 2016 </w:t>
      </w:r>
      <w:proofErr w:type="spellStart"/>
      <w:r>
        <w:rPr>
          <w:color w:val="000000"/>
        </w:rPr>
        <w:t>MassGIS</w:t>
      </w:r>
      <w:proofErr w:type="spellEnd"/>
      <w:r>
        <w:rPr>
          <w:color w:val="000000"/>
        </w:rPr>
        <w:t xml:space="preserve"> Land Use layer, use a PLER = 1.95 </w:t>
      </w:r>
      <w:proofErr w:type="spellStart"/>
      <w:r>
        <w:rPr>
          <w:color w:val="000000"/>
        </w:rPr>
        <w:t>lb</w:t>
      </w:r>
      <w:proofErr w:type="spellEnd"/>
      <w:r>
        <w:rPr>
          <w:color w:val="000000"/>
        </w:rPr>
        <w:t>/ac/</w:t>
      </w:r>
      <w:proofErr w:type="spellStart"/>
      <w:r>
        <w:rPr>
          <w:color w:val="000000"/>
        </w:rPr>
        <w:t>yr</w:t>
      </w:r>
      <w:proofErr w:type="spellEnd"/>
      <w:r>
        <w:rPr>
          <w:color w:val="000000"/>
        </w:rPr>
        <w:t xml:space="preserve"> instead of the PLER values in 2016 MS4 Permit, Appendix F, Attachment 1, Table 1-2 applicable to the 2005 </w:t>
      </w:r>
      <w:proofErr w:type="spellStart"/>
      <w:r>
        <w:rPr>
          <w:color w:val="000000"/>
        </w:rPr>
        <w:t>MassGIS</w:t>
      </w:r>
      <w:proofErr w:type="spellEnd"/>
      <w:r>
        <w:rPr>
          <w:color w:val="000000"/>
        </w:rPr>
        <w:t xml:space="preserve"> Land Use.</w:t>
      </w:r>
    </w:p>
    <w:p w:rsidR="00F355B2" w:rsidRDefault="00F355B2">
      <w:pPr>
        <w:ind w:left="720"/>
      </w:pPr>
    </w:p>
    <w:p w:rsidR="00F355B2" w:rsidRDefault="001F33F4">
      <w:pPr>
        <w:spacing w:after="0" w:line="240" w:lineRule="auto"/>
        <w:ind w:left="720"/>
        <w:rPr>
          <w:b/>
        </w:rPr>
      </w:pPr>
      <w:r>
        <w:rPr>
          <w:b/>
        </w:rPr>
        <w:t xml:space="preserve">Report Results by Category: </w:t>
      </w:r>
    </w:p>
    <w:p w:rsidR="00F355B2" w:rsidRDefault="00F355B2">
      <w:pPr>
        <w:spacing w:after="0" w:line="240" w:lineRule="auto"/>
        <w:ind w:left="720"/>
        <w:rPr>
          <w:b/>
        </w:rPr>
      </w:pPr>
    </w:p>
    <w:p w:rsidR="00F355B2" w:rsidRDefault="001F33F4">
      <w:pPr>
        <w:keepNext/>
        <w:pBdr>
          <w:top w:val="nil"/>
          <w:left w:val="nil"/>
          <w:bottom w:val="nil"/>
          <w:right w:val="nil"/>
          <w:between w:val="nil"/>
        </w:pBdr>
        <w:spacing w:after="200" w:line="240" w:lineRule="auto"/>
        <w:jc w:val="center"/>
        <w:rPr>
          <w:color w:val="000000"/>
        </w:rPr>
      </w:pPr>
      <w:bookmarkStart w:id="8" w:name="_heading=h.3rdcrjn" w:colFirst="0" w:colLast="0"/>
      <w:bookmarkEnd w:id="8"/>
      <w:r>
        <w:rPr>
          <w:color w:val="000000"/>
        </w:rPr>
        <w:t>Table 7. Existing Non-Structural BMPs</w:t>
      </w:r>
    </w:p>
    <w:tbl>
      <w:tblPr>
        <w:tblStyle w:val="af5"/>
        <w:tblW w:w="77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013"/>
        <w:gridCol w:w="2390"/>
      </w:tblGrid>
      <w:tr w:rsidR="00F355B2">
        <w:trPr>
          <w:trHeight w:val="597"/>
        </w:trPr>
        <w:tc>
          <w:tcPr>
            <w:tcW w:w="2337"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Non-Structural BMP</w:t>
            </w:r>
          </w:p>
        </w:tc>
        <w:tc>
          <w:tcPr>
            <w:tcW w:w="3013"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Implementation Levels</w:t>
            </w:r>
          </w:p>
        </w:tc>
        <w:tc>
          <w:tcPr>
            <w:tcW w:w="2390"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Average Annual P-Reduction (</w:t>
            </w:r>
            <w:proofErr w:type="spellStart"/>
            <w:r>
              <w:rPr>
                <w:b/>
                <w:sz w:val="20"/>
                <w:szCs w:val="20"/>
              </w:rPr>
              <w:t>lbs</w:t>
            </w:r>
            <w:proofErr w:type="spellEnd"/>
            <w:r>
              <w:rPr>
                <w:b/>
                <w:sz w:val="20"/>
                <w:szCs w:val="20"/>
              </w:rPr>
              <w:t>/</w:t>
            </w:r>
            <w:proofErr w:type="spellStart"/>
            <w:r>
              <w:rPr>
                <w:b/>
                <w:sz w:val="20"/>
                <w:szCs w:val="20"/>
              </w:rPr>
              <w:t>yr</w:t>
            </w:r>
            <w:proofErr w:type="spellEnd"/>
            <w:r>
              <w:rPr>
                <w:b/>
                <w:sz w:val="20"/>
                <w:szCs w:val="20"/>
              </w:rPr>
              <w:t>)</w:t>
            </w:r>
          </w:p>
        </w:tc>
      </w:tr>
      <w:tr w:rsidR="00F355B2">
        <w:trPr>
          <w:trHeight w:val="290"/>
        </w:trPr>
        <w:tc>
          <w:tcPr>
            <w:tcW w:w="2337" w:type="dxa"/>
            <w:tcBorders>
              <w:top w:val="single" w:sz="4" w:space="0" w:color="000000"/>
              <w:left w:val="single" w:sz="4" w:space="0" w:color="000000"/>
              <w:bottom w:val="single" w:sz="4" w:space="0" w:color="000000"/>
              <w:right w:val="single" w:sz="4" w:space="0" w:color="000000"/>
            </w:tcBorders>
          </w:tcPr>
          <w:p w:rsidR="00F355B2" w:rsidRDefault="001F33F4">
            <w:pPr>
              <w:spacing w:after="0" w:line="240" w:lineRule="auto"/>
              <w:jc w:val="center"/>
              <w:rPr>
                <w:sz w:val="20"/>
                <w:szCs w:val="20"/>
              </w:rPr>
            </w:pPr>
            <w:r>
              <w:rPr>
                <w:sz w:val="20"/>
                <w:szCs w:val="20"/>
              </w:rPr>
              <w:t>Street Sweeping</w:t>
            </w:r>
          </w:p>
        </w:tc>
        <w:tc>
          <w:tcPr>
            <w:tcW w:w="3013"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306"/>
        </w:trPr>
        <w:tc>
          <w:tcPr>
            <w:tcW w:w="2337" w:type="dxa"/>
            <w:tcBorders>
              <w:top w:val="single" w:sz="4" w:space="0" w:color="000000"/>
              <w:left w:val="single" w:sz="4" w:space="0" w:color="000000"/>
              <w:bottom w:val="single" w:sz="4" w:space="0" w:color="000000"/>
              <w:right w:val="single" w:sz="4" w:space="0" w:color="000000"/>
            </w:tcBorders>
          </w:tcPr>
          <w:p w:rsidR="00F355B2" w:rsidRDefault="001F33F4">
            <w:pPr>
              <w:spacing w:after="0" w:line="240" w:lineRule="auto"/>
              <w:jc w:val="center"/>
              <w:rPr>
                <w:sz w:val="20"/>
                <w:szCs w:val="20"/>
              </w:rPr>
            </w:pPr>
            <w:r>
              <w:rPr>
                <w:sz w:val="20"/>
                <w:szCs w:val="20"/>
              </w:rPr>
              <w:t>CB Cleaning</w:t>
            </w:r>
          </w:p>
        </w:tc>
        <w:tc>
          <w:tcPr>
            <w:tcW w:w="3013"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90"/>
        </w:trPr>
        <w:tc>
          <w:tcPr>
            <w:tcW w:w="2337" w:type="dxa"/>
            <w:tcBorders>
              <w:top w:val="single" w:sz="4" w:space="0" w:color="000000"/>
              <w:left w:val="single" w:sz="4" w:space="0" w:color="000000"/>
              <w:bottom w:val="single" w:sz="4" w:space="0" w:color="000000"/>
              <w:right w:val="single" w:sz="4" w:space="0" w:color="000000"/>
            </w:tcBorders>
          </w:tcPr>
          <w:p w:rsidR="00F355B2" w:rsidRDefault="001F33F4">
            <w:pPr>
              <w:spacing w:after="0" w:line="240" w:lineRule="auto"/>
              <w:jc w:val="center"/>
              <w:rPr>
                <w:sz w:val="20"/>
                <w:szCs w:val="20"/>
              </w:rPr>
            </w:pPr>
            <w:r>
              <w:rPr>
                <w:sz w:val="20"/>
                <w:szCs w:val="20"/>
              </w:rPr>
              <w:t>Leaf Litter Program</w:t>
            </w:r>
          </w:p>
        </w:tc>
        <w:tc>
          <w:tcPr>
            <w:tcW w:w="3013"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39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90"/>
        </w:trPr>
        <w:tc>
          <w:tcPr>
            <w:tcW w:w="5350" w:type="dxa"/>
            <w:gridSpan w:val="2"/>
            <w:tcBorders>
              <w:top w:val="single" w:sz="4" w:space="0" w:color="000000"/>
              <w:left w:val="single" w:sz="4" w:space="0" w:color="000000"/>
              <w:bottom w:val="single" w:sz="4" w:space="0" w:color="000000"/>
              <w:right w:val="single" w:sz="4" w:space="0" w:color="000000"/>
            </w:tcBorders>
          </w:tcPr>
          <w:p w:rsidR="00F355B2" w:rsidRDefault="001F33F4">
            <w:pPr>
              <w:spacing w:after="0" w:line="240" w:lineRule="auto"/>
              <w:jc w:val="center"/>
              <w:rPr>
                <w:b/>
                <w:sz w:val="20"/>
                <w:szCs w:val="20"/>
              </w:rPr>
            </w:pPr>
            <w:r>
              <w:rPr>
                <w:b/>
                <w:sz w:val="20"/>
                <w:szCs w:val="20"/>
              </w:rPr>
              <w:t xml:space="preserve">Item 2.4: Total Existing Non-Structural Credit </w:t>
            </w:r>
          </w:p>
        </w:tc>
        <w:tc>
          <w:tcPr>
            <w:tcW w:w="239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bl>
    <w:p w:rsidR="00F355B2" w:rsidRDefault="00F355B2">
      <w:pPr>
        <w:pBdr>
          <w:top w:val="nil"/>
          <w:left w:val="nil"/>
          <w:bottom w:val="nil"/>
          <w:right w:val="nil"/>
          <w:between w:val="nil"/>
        </w:pBdr>
        <w:spacing w:after="0" w:line="240" w:lineRule="auto"/>
        <w:ind w:left="720"/>
        <w:rPr>
          <w:color w:val="000000"/>
        </w:rPr>
      </w:pPr>
    </w:p>
    <w:p w:rsidR="00F355B2" w:rsidRDefault="001F33F4">
      <w:pPr>
        <w:pBdr>
          <w:top w:val="nil"/>
          <w:left w:val="nil"/>
          <w:bottom w:val="nil"/>
          <w:right w:val="nil"/>
          <w:between w:val="nil"/>
        </w:pBdr>
        <w:spacing w:after="0" w:line="240" w:lineRule="auto"/>
        <w:ind w:left="720"/>
        <w:rPr>
          <w:color w:val="000000"/>
        </w:rPr>
      </w:pPr>
      <w:r>
        <w:rPr>
          <w:color w:val="000000"/>
        </w:rPr>
        <w:t>Use the information in the table above to enter into Table 1-5 of the Template.</w:t>
      </w:r>
    </w:p>
    <w:p w:rsidR="00F355B2" w:rsidRDefault="00F355B2"/>
    <w:p w:rsidR="00F355B2" w:rsidRDefault="001F33F4">
      <w:pPr>
        <w:spacing w:after="0"/>
        <w:rPr>
          <w:b/>
        </w:rPr>
      </w:pPr>
      <w:r>
        <w:rPr>
          <w:b/>
        </w:rPr>
        <w:t>Part (2c). Structural BMP Calculation from Constructed and Maintained BMPs</w:t>
      </w:r>
    </w:p>
    <w:p w:rsidR="00F355B2" w:rsidRDefault="001F33F4">
      <w:pPr>
        <w:ind w:left="720"/>
      </w:pPr>
      <w:r>
        <w:t xml:space="preserve">Before determining enhancements that should be undertaken moving forward, this is an opportunity to take credit for any structural BMPs already in place that are receiving proper maintenance and are currently working as intended. Part (2c) focuses on structural BMP implementation. </w:t>
      </w:r>
      <w:r>
        <w:rPr>
          <w:b/>
        </w:rPr>
        <w:t>EPA’s BMP Accounting and Tracking Tool (BATT) is the tool that is best suited for this step.</w:t>
      </w:r>
      <w:r>
        <w:t xml:space="preserve"> It will also help you establish a good database for tracking structural controls going forward.  </w:t>
      </w:r>
    </w:p>
    <w:p w:rsidR="00F355B2" w:rsidRDefault="001F33F4">
      <w:pPr>
        <w:spacing w:after="0"/>
        <w:ind w:left="720"/>
      </w:pPr>
      <w:r>
        <w:t>Note that if you decide to take credit for existing BMPs, we recommend you complete this ASAP to get a better idea of how much progress you’ve already made towards your Allowable Phosphorus Load, which will direct how you continue to plan your program. We recommend that you undertake this effort if there has been considerable development or redevelopment in your community in the past two decades that has involved installation of stormwater BMPs and 1. You have documentation on these systems, and 2. The systems have been maintained and are functioning as designed.</w:t>
      </w:r>
    </w:p>
    <w:p w:rsidR="00F355B2" w:rsidRDefault="001F33F4">
      <w:pPr>
        <w:spacing w:after="0" w:line="240" w:lineRule="auto"/>
        <w:ind w:left="720"/>
      </w:pPr>
      <w:r>
        <w:t xml:space="preserve"> </w:t>
      </w:r>
    </w:p>
    <w:p w:rsidR="00F355B2" w:rsidRDefault="001F33F4">
      <w:pPr>
        <w:spacing w:after="0"/>
        <w:ind w:left="720"/>
      </w:pPr>
      <w:r>
        <w:t>To calculate reduction credit, you will need to build an inventory of all installed structural BMPs using the “</w:t>
      </w:r>
      <w:proofErr w:type="spellStart"/>
      <w:r>
        <w:t>InventoryStructuralBMPs</w:t>
      </w:r>
      <w:proofErr w:type="spellEnd"/>
      <w:r>
        <w:t xml:space="preserve">” tab in Appendix R.6 </w:t>
      </w:r>
      <w:r w:rsidR="00AB4714">
        <w:t>which</w:t>
      </w:r>
      <w:r>
        <w:t xml:space="preserve"> includes the following information:</w:t>
      </w:r>
    </w:p>
    <w:p w:rsidR="00F355B2" w:rsidRDefault="001F33F4">
      <w:pPr>
        <w:numPr>
          <w:ilvl w:val="1"/>
          <w:numId w:val="1"/>
        </w:numPr>
        <w:pBdr>
          <w:top w:val="nil"/>
          <w:left w:val="nil"/>
          <w:bottom w:val="nil"/>
          <w:right w:val="nil"/>
          <w:between w:val="nil"/>
        </w:pBdr>
        <w:spacing w:after="0"/>
      </w:pPr>
      <w:r>
        <w:rPr>
          <w:color w:val="000000"/>
        </w:rPr>
        <w:t>BMP Type</w:t>
      </w:r>
    </w:p>
    <w:p w:rsidR="00F355B2" w:rsidRDefault="001F33F4">
      <w:pPr>
        <w:numPr>
          <w:ilvl w:val="1"/>
          <w:numId w:val="1"/>
        </w:numPr>
        <w:pBdr>
          <w:top w:val="nil"/>
          <w:left w:val="nil"/>
          <w:bottom w:val="nil"/>
          <w:right w:val="nil"/>
          <w:between w:val="nil"/>
        </w:pBdr>
        <w:spacing w:after="0"/>
      </w:pPr>
      <w:r>
        <w:rPr>
          <w:color w:val="000000"/>
        </w:rPr>
        <w:t>BMP Drainage Area (acres)</w:t>
      </w:r>
    </w:p>
    <w:p w:rsidR="00F355B2" w:rsidRDefault="001F33F4">
      <w:pPr>
        <w:numPr>
          <w:ilvl w:val="1"/>
          <w:numId w:val="1"/>
        </w:numPr>
        <w:pBdr>
          <w:top w:val="nil"/>
          <w:left w:val="nil"/>
          <w:bottom w:val="nil"/>
          <w:right w:val="nil"/>
          <w:between w:val="nil"/>
        </w:pBdr>
        <w:spacing w:after="0"/>
      </w:pPr>
      <w:r>
        <w:rPr>
          <w:color w:val="000000"/>
        </w:rPr>
        <w:t xml:space="preserve">BMP Location </w:t>
      </w:r>
    </w:p>
    <w:p w:rsidR="00F355B2" w:rsidRDefault="001F33F4">
      <w:pPr>
        <w:numPr>
          <w:ilvl w:val="1"/>
          <w:numId w:val="1"/>
        </w:numPr>
        <w:spacing w:before="240" w:after="240"/>
      </w:pPr>
      <w:r>
        <w:rPr>
          <w:color w:val="000000"/>
        </w:rPr>
        <w:lastRenderedPageBreak/>
        <w:t>BMP Design Storage Volume (ft3)</w:t>
      </w:r>
    </w:p>
    <w:p w:rsidR="00F355B2" w:rsidRDefault="001F33F4">
      <w:pPr>
        <w:numPr>
          <w:ilvl w:val="1"/>
          <w:numId w:val="1"/>
        </w:numPr>
        <w:pBdr>
          <w:top w:val="nil"/>
          <w:left w:val="nil"/>
          <w:bottom w:val="nil"/>
          <w:right w:val="nil"/>
          <w:between w:val="nil"/>
        </w:pBdr>
        <w:spacing w:after="0"/>
      </w:pPr>
      <w:r>
        <w:rPr>
          <w:color w:val="000000"/>
        </w:rPr>
        <w:t>Impervious and Pervious Area Contributions, with</w:t>
      </w:r>
    </w:p>
    <w:p w:rsidR="00F355B2" w:rsidRDefault="001F33F4">
      <w:pPr>
        <w:numPr>
          <w:ilvl w:val="2"/>
          <w:numId w:val="1"/>
        </w:numPr>
        <w:pBdr>
          <w:top w:val="nil"/>
          <w:left w:val="nil"/>
          <w:bottom w:val="nil"/>
          <w:right w:val="nil"/>
          <w:between w:val="nil"/>
        </w:pBdr>
        <w:spacing w:after="0"/>
      </w:pPr>
      <w:r>
        <w:rPr>
          <w:color w:val="000000"/>
        </w:rPr>
        <w:t>Impervious Land Use Type and Area (acres)</w:t>
      </w:r>
    </w:p>
    <w:p w:rsidR="00F355B2" w:rsidRDefault="001F33F4">
      <w:pPr>
        <w:numPr>
          <w:ilvl w:val="2"/>
          <w:numId w:val="1"/>
        </w:numPr>
        <w:pBdr>
          <w:top w:val="nil"/>
          <w:left w:val="nil"/>
          <w:bottom w:val="nil"/>
          <w:right w:val="nil"/>
          <w:between w:val="nil"/>
        </w:pBdr>
        <w:spacing w:after="0"/>
      </w:pPr>
      <w:r>
        <w:rPr>
          <w:color w:val="000000"/>
        </w:rPr>
        <w:t>Pervious Hydrologic Soil Group (HSG) and Area (acres)</w:t>
      </w:r>
    </w:p>
    <w:p w:rsidR="00F355B2" w:rsidRDefault="001F33F4">
      <w:pPr>
        <w:numPr>
          <w:ilvl w:val="1"/>
          <w:numId w:val="1"/>
        </w:numPr>
        <w:pBdr>
          <w:top w:val="nil"/>
          <w:left w:val="nil"/>
          <w:bottom w:val="nil"/>
          <w:right w:val="nil"/>
          <w:between w:val="nil"/>
        </w:pBdr>
        <w:spacing w:after="0"/>
      </w:pPr>
      <w:r>
        <w:rPr>
          <w:color w:val="000000"/>
        </w:rPr>
        <w:t>Phosphorus Reduction (% Removal)</w:t>
      </w:r>
    </w:p>
    <w:p w:rsidR="00F355B2" w:rsidRDefault="001F33F4">
      <w:pPr>
        <w:numPr>
          <w:ilvl w:val="2"/>
          <w:numId w:val="1"/>
        </w:numPr>
        <w:pBdr>
          <w:top w:val="nil"/>
          <w:left w:val="nil"/>
          <w:bottom w:val="nil"/>
          <w:right w:val="nil"/>
          <w:between w:val="nil"/>
        </w:pBdr>
      </w:pPr>
      <w:r>
        <w:rPr>
          <w:color w:val="000000"/>
        </w:rPr>
        <w:t xml:space="preserve">Note, this can be calculated based on the storage capacity of a BMP using the performance curves in Appendix F Attachment 3 (utilized in the BATT tool). </w:t>
      </w:r>
    </w:p>
    <w:p w:rsidR="00F355B2" w:rsidRDefault="001F33F4">
      <w:pPr>
        <w:pBdr>
          <w:top w:val="nil"/>
          <w:left w:val="nil"/>
          <w:bottom w:val="nil"/>
          <w:right w:val="nil"/>
          <w:between w:val="nil"/>
        </w:pBdr>
        <w:ind w:left="2160"/>
      </w:pPr>
      <w:r>
        <w:rPr>
          <w:color w:val="000000"/>
        </w:rPr>
        <w:t>Need BMP type and storage volume.</w:t>
      </w:r>
    </w:p>
    <w:p w:rsidR="00F355B2" w:rsidRDefault="001F33F4">
      <w:pPr>
        <w:pBdr>
          <w:top w:val="nil"/>
          <w:left w:val="nil"/>
          <w:bottom w:val="nil"/>
          <w:right w:val="nil"/>
          <w:between w:val="nil"/>
        </w:pBdr>
        <w:spacing w:after="0"/>
        <w:ind w:left="720"/>
        <w:rPr>
          <w:color w:val="000000"/>
        </w:rPr>
      </w:pPr>
      <w:r>
        <w:rPr>
          <w:color w:val="000000"/>
        </w:rPr>
        <w:t>Some recommendations on how to compile the above information is as follows:</w:t>
      </w:r>
    </w:p>
    <w:p w:rsidR="00F355B2" w:rsidRDefault="001F33F4">
      <w:pPr>
        <w:numPr>
          <w:ilvl w:val="0"/>
          <w:numId w:val="5"/>
        </w:numPr>
        <w:pBdr>
          <w:top w:val="nil"/>
          <w:left w:val="nil"/>
          <w:bottom w:val="nil"/>
          <w:right w:val="nil"/>
          <w:between w:val="nil"/>
        </w:pBdr>
        <w:spacing w:after="0"/>
        <w:rPr>
          <w:color w:val="000000"/>
        </w:rPr>
      </w:pPr>
      <w:r>
        <w:rPr>
          <w:color w:val="000000"/>
        </w:rPr>
        <w:t>BMP record plans and as-built drawings</w:t>
      </w:r>
    </w:p>
    <w:p w:rsidR="00F355B2" w:rsidRDefault="001F33F4">
      <w:pPr>
        <w:numPr>
          <w:ilvl w:val="0"/>
          <w:numId w:val="5"/>
        </w:numPr>
        <w:pBdr>
          <w:top w:val="nil"/>
          <w:left w:val="nil"/>
          <w:bottom w:val="nil"/>
          <w:right w:val="nil"/>
          <w:between w:val="nil"/>
        </w:pBdr>
        <w:spacing w:after="0"/>
        <w:rPr>
          <w:color w:val="000000"/>
        </w:rPr>
      </w:pPr>
      <w:r>
        <w:rPr>
          <w:color w:val="000000"/>
        </w:rPr>
        <w:t xml:space="preserve">BMP design documents </w:t>
      </w:r>
    </w:p>
    <w:p w:rsidR="00F355B2" w:rsidRDefault="001F33F4">
      <w:pPr>
        <w:numPr>
          <w:ilvl w:val="0"/>
          <w:numId w:val="5"/>
        </w:numPr>
        <w:pBdr>
          <w:top w:val="nil"/>
          <w:left w:val="nil"/>
          <w:bottom w:val="nil"/>
          <w:right w:val="nil"/>
          <w:between w:val="nil"/>
        </w:pBdr>
        <w:spacing w:after="0"/>
        <w:rPr>
          <w:color w:val="000000"/>
        </w:rPr>
      </w:pPr>
      <w:r>
        <w:rPr>
          <w:color w:val="000000"/>
        </w:rPr>
        <w:t>Local GIS information for land use</w:t>
      </w:r>
    </w:p>
    <w:p w:rsidR="00F355B2" w:rsidRDefault="00F355B2">
      <w:pPr>
        <w:ind w:left="720"/>
      </w:pPr>
    </w:p>
    <w:p w:rsidR="00F355B2" w:rsidRDefault="001F33F4">
      <w:pPr>
        <w:ind w:left="720"/>
        <w:rPr>
          <w:b/>
        </w:rPr>
      </w:pPr>
      <w:r>
        <w:t>For all structural BMPs that have already been installed, use the BATT tool to calculate associated phosphorus credits that can be taken. BATT uses the equations in Attachment 3 to Appendix F to estimate phosphorus credits. Workshops #2 and #3 of the PCP workshop series details how and what is needed to use these equations. A spreadsheet can also be used for planning purposes such as if you want to make an educated guess about how much credit you might get from BMPs that are currently installed before tracking down all the data needed for the BATT and investing in staff capacity to learn BATT.</w:t>
      </w:r>
      <w:r>
        <w:rPr>
          <w:b/>
        </w:rPr>
        <w:t xml:space="preserve"> EPA recommends using the BATT tool for compliance reporting and documentation.</w:t>
      </w:r>
    </w:p>
    <w:p w:rsidR="00F355B2" w:rsidRDefault="001F33F4">
      <w:pPr>
        <w:ind w:left="720"/>
      </w:pPr>
      <w:r>
        <w:t>Based on BATT, or any other tool used, enter the summary of current structural BMPs and their associated phosphorus credit in the table below. This will be replicated in 1-7      of the template.</w:t>
      </w:r>
    </w:p>
    <w:p w:rsidR="00F355B2" w:rsidRDefault="001F33F4">
      <w:pPr>
        <w:keepNext/>
        <w:pBdr>
          <w:top w:val="nil"/>
          <w:left w:val="nil"/>
          <w:bottom w:val="nil"/>
          <w:right w:val="nil"/>
          <w:between w:val="nil"/>
        </w:pBdr>
        <w:spacing w:after="200" w:line="240" w:lineRule="auto"/>
        <w:jc w:val="center"/>
        <w:rPr>
          <w:color w:val="000000"/>
        </w:rPr>
      </w:pPr>
      <w:r>
        <w:rPr>
          <w:color w:val="000000"/>
        </w:rPr>
        <w:t>Table 8. Structural BMPs</w:t>
      </w:r>
    </w:p>
    <w:tbl>
      <w:tblPr>
        <w:tblStyle w:val="af6"/>
        <w:tblW w:w="87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250"/>
        <w:gridCol w:w="2160"/>
        <w:gridCol w:w="2210"/>
      </w:tblGrid>
      <w:tr w:rsidR="00F355B2">
        <w:trPr>
          <w:trHeight w:val="468"/>
        </w:trPr>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Current Structural BMP Type</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Number of BMPs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Total Acres Managed</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Pr>
          <w:p w:rsidR="00F355B2" w:rsidRDefault="001F33F4">
            <w:pPr>
              <w:spacing w:after="0" w:line="240" w:lineRule="auto"/>
              <w:jc w:val="center"/>
              <w:rPr>
                <w:b/>
                <w:sz w:val="20"/>
                <w:szCs w:val="20"/>
              </w:rPr>
            </w:pPr>
            <w:r>
              <w:rPr>
                <w:b/>
                <w:sz w:val="20"/>
                <w:szCs w:val="20"/>
              </w:rPr>
              <w:t>Total Annual P-Reduction (</w:t>
            </w:r>
            <w:proofErr w:type="spellStart"/>
            <w:r>
              <w:rPr>
                <w:b/>
                <w:sz w:val="20"/>
                <w:szCs w:val="20"/>
              </w:rPr>
              <w:t>lb</w:t>
            </w:r>
            <w:proofErr w:type="spellEnd"/>
            <w:r>
              <w:rPr>
                <w:b/>
                <w:sz w:val="20"/>
                <w:szCs w:val="20"/>
              </w:rPr>
              <w:t>/</w:t>
            </w:r>
            <w:proofErr w:type="spellStart"/>
            <w:r>
              <w:rPr>
                <w:b/>
                <w:sz w:val="20"/>
                <w:szCs w:val="20"/>
              </w:rPr>
              <w:t>yr</w:t>
            </w:r>
            <w:proofErr w:type="spellEnd"/>
            <w:r>
              <w:rPr>
                <w:b/>
                <w:sz w:val="20"/>
                <w:szCs w:val="20"/>
              </w:rPr>
              <w:t>)</w:t>
            </w:r>
          </w:p>
        </w:tc>
      </w:tr>
      <w:tr w:rsidR="00F355B2">
        <w:trPr>
          <w:trHeight w:val="227"/>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40"/>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27"/>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27"/>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40"/>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27"/>
        </w:trPr>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rPr>
                <w:i/>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r w:rsidR="00F355B2">
        <w:trPr>
          <w:trHeight w:val="227"/>
        </w:trPr>
        <w:tc>
          <w:tcPr>
            <w:tcW w:w="6570" w:type="dxa"/>
            <w:gridSpan w:val="3"/>
            <w:tcBorders>
              <w:top w:val="single" w:sz="4" w:space="0" w:color="000000"/>
              <w:left w:val="single" w:sz="4" w:space="0" w:color="000000"/>
              <w:bottom w:val="single" w:sz="4" w:space="0" w:color="000000"/>
              <w:right w:val="single" w:sz="4" w:space="0" w:color="000000"/>
            </w:tcBorders>
          </w:tcPr>
          <w:p w:rsidR="00F355B2" w:rsidRDefault="001F33F4">
            <w:pPr>
              <w:spacing w:after="0" w:line="240" w:lineRule="auto"/>
              <w:jc w:val="center"/>
              <w:rPr>
                <w:b/>
                <w:sz w:val="20"/>
                <w:szCs w:val="20"/>
              </w:rPr>
            </w:pPr>
            <w:r>
              <w:rPr>
                <w:b/>
                <w:sz w:val="20"/>
                <w:szCs w:val="20"/>
              </w:rPr>
              <w:t>Item 2.5: Total Phosphorus Credit from Current Structural BMPs</w:t>
            </w:r>
          </w:p>
        </w:tc>
        <w:tc>
          <w:tcPr>
            <w:tcW w:w="2210" w:type="dxa"/>
            <w:tcBorders>
              <w:top w:val="single" w:sz="4" w:space="0" w:color="000000"/>
              <w:left w:val="single" w:sz="4" w:space="0" w:color="000000"/>
              <w:bottom w:val="single" w:sz="4" w:space="0" w:color="000000"/>
              <w:right w:val="single" w:sz="4" w:space="0" w:color="000000"/>
            </w:tcBorders>
          </w:tcPr>
          <w:p w:rsidR="00F355B2" w:rsidRDefault="00F355B2">
            <w:pPr>
              <w:spacing w:after="0" w:line="240" w:lineRule="auto"/>
              <w:jc w:val="center"/>
              <w:rPr>
                <w:sz w:val="20"/>
                <w:szCs w:val="20"/>
              </w:rPr>
            </w:pPr>
          </w:p>
        </w:tc>
      </w:tr>
    </w:tbl>
    <w:p w:rsidR="00F355B2" w:rsidRDefault="00F355B2"/>
    <w:p w:rsidR="00F355B2" w:rsidRDefault="001F33F4">
      <w:r>
        <w:lastRenderedPageBreak/>
        <w:t xml:space="preserve">Note that the procedures for Parts (2b) and (2c) will be replicated for planned BMPs in subsequent sections of the PCP. The guidance here should be followed for all planned BMPs. Take note of any data that was not easily accessible for calculation here – procedures for structural BMP implementation moving forward should work to address this deficiency, by working with developers to obtain this information during your site plan approval or other permitting. Processes should be standardized and efficient moving forward. Maintenance requirements that are the Town’s responsibility should be detailed in your Stormwater Water Management Plan (SWMP).  </w:t>
      </w:r>
    </w:p>
    <w:p w:rsidR="00F355B2" w:rsidRDefault="001F33F4">
      <w:r>
        <w:rPr>
          <w:b/>
        </w:rPr>
        <w:t>Calculation Summary:</w:t>
      </w:r>
      <w:r>
        <w:t xml:space="preserve"> With your current phosphorus load (Item 2.2) calculated above, and your reductions due to current structural and non-structural BMPs, you can now apply these credits to augment that reduction requirement, progressing you further towards your Allowable Phosphorus Load. Use the information calculated in this worksheet to populate the following table.</w:t>
      </w:r>
    </w:p>
    <w:p w:rsidR="00F355B2" w:rsidRDefault="001F33F4">
      <w:pPr>
        <w:keepNext/>
        <w:pBdr>
          <w:top w:val="nil"/>
          <w:left w:val="nil"/>
          <w:bottom w:val="nil"/>
          <w:right w:val="nil"/>
          <w:between w:val="nil"/>
        </w:pBdr>
        <w:spacing w:after="200" w:line="240" w:lineRule="auto"/>
        <w:jc w:val="center"/>
        <w:rPr>
          <w:color w:val="000000"/>
        </w:rPr>
      </w:pPr>
      <w:r>
        <w:rPr>
          <w:color w:val="000000"/>
        </w:rPr>
        <w:t>Table 9. Calculation Summary for Existing Conditions</w:t>
      </w:r>
    </w:p>
    <w:tbl>
      <w:tblPr>
        <w:tblStyle w:val="af7"/>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9"/>
        <w:gridCol w:w="3563"/>
      </w:tblGrid>
      <w:tr w:rsidR="00F355B2">
        <w:trPr>
          <w:trHeight w:val="41"/>
        </w:trPr>
        <w:tc>
          <w:tcPr>
            <w:tcW w:w="5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Condition</w:t>
            </w:r>
          </w:p>
        </w:tc>
        <w:tc>
          <w:tcPr>
            <w:tcW w:w="3563" w:type="dxa"/>
            <w:tcBorders>
              <w:top w:val="single" w:sz="4" w:space="0" w:color="000000"/>
              <w:left w:val="nil"/>
              <w:bottom w:val="single" w:sz="4" w:space="0" w:color="000000"/>
              <w:right w:val="single" w:sz="4" w:space="0" w:color="000000"/>
            </w:tcBorders>
            <w:shd w:val="clear" w:color="auto" w:fill="D9D9D9"/>
            <w:vAlign w:val="center"/>
          </w:tcPr>
          <w:p w:rsidR="00F355B2" w:rsidRDefault="001F33F4">
            <w:pPr>
              <w:spacing w:after="0" w:line="240" w:lineRule="auto"/>
              <w:jc w:val="center"/>
              <w:rPr>
                <w:b/>
                <w:color w:val="000000"/>
              </w:rPr>
            </w:pPr>
            <w:r>
              <w:rPr>
                <w:b/>
                <w:color w:val="000000"/>
              </w:rPr>
              <w:t>From Permit</w:t>
            </w:r>
            <w:r>
              <w:rPr>
                <w:b/>
                <w:color w:val="000000"/>
                <w:vertAlign w:val="superscript"/>
              </w:rPr>
              <w:t>1</w:t>
            </w:r>
          </w:p>
        </w:tc>
      </w:tr>
      <w:tr w:rsidR="00F355B2">
        <w:trPr>
          <w:trHeight w:val="41"/>
        </w:trPr>
        <w:tc>
          <w:tcPr>
            <w:tcW w:w="5939"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rPr>
            </w:pPr>
            <w:r>
              <w:rPr>
                <w:b/>
                <w:color w:val="000000"/>
              </w:rPr>
              <w:t xml:space="preserve">Current Stormwater P-Load Reduction Requirement, </w:t>
            </w:r>
            <w:proofErr w:type="spellStart"/>
            <w:r>
              <w:rPr>
                <w:b/>
                <w:color w:val="000000"/>
              </w:rPr>
              <w:t>lbs</w:t>
            </w:r>
            <w:proofErr w:type="spellEnd"/>
            <w:r>
              <w:rPr>
                <w:b/>
                <w:color w:val="000000"/>
              </w:rPr>
              <w:t>/</w:t>
            </w:r>
            <w:proofErr w:type="spellStart"/>
            <w:r>
              <w:rPr>
                <w:b/>
                <w:color w:val="000000"/>
              </w:rPr>
              <w:t>yr</w:t>
            </w:r>
            <w:proofErr w:type="spellEnd"/>
          </w:p>
        </w:tc>
        <w:tc>
          <w:tcPr>
            <w:tcW w:w="3563"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rPr>
            </w:pPr>
            <w:r>
              <w:rPr>
                <w:i/>
                <w:color w:val="000000"/>
              </w:rPr>
              <w:t>Item 2.3 = [Item 2.2</w:t>
            </w:r>
            <w:r>
              <w:t xml:space="preserve"> </w:t>
            </w:r>
            <w:r>
              <w:rPr>
                <w:i/>
                <w:color w:val="000000"/>
              </w:rPr>
              <w:t>– Item 1.3]</w:t>
            </w:r>
          </w:p>
        </w:tc>
      </w:tr>
      <w:tr w:rsidR="00F355B2">
        <w:trPr>
          <w:trHeight w:val="41"/>
        </w:trPr>
        <w:tc>
          <w:tcPr>
            <w:tcW w:w="5939"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rPr>
            </w:pPr>
            <w:r>
              <w:rPr>
                <w:b/>
                <w:color w:val="000000"/>
              </w:rPr>
              <w:t xml:space="preserve">Non-Structural BMP Reduction Credit, </w:t>
            </w:r>
            <w:proofErr w:type="spellStart"/>
            <w:r>
              <w:rPr>
                <w:b/>
                <w:color w:val="000000"/>
              </w:rPr>
              <w:t>lbs</w:t>
            </w:r>
            <w:proofErr w:type="spellEnd"/>
            <w:r>
              <w:rPr>
                <w:b/>
                <w:color w:val="000000"/>
              </w:rPr>
              <w:t>/</w:t>
            </w:r>
            <w:proofErr w:type="spellStart"/>
            <w:r>
              <w:rPr>
                <w:b/>
                <w:color w:val="000000"/>
              </w:rPr>
              <w:t>yr</w:t>
            </w:r>
            <w:proofErr w:type="spellEnd"/>
          </w:p>
        </w:tc>
        <w:tc>
          <w:tcPr>
            <w:tcW w:w="3563"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rPr>
            </w:pPr>
            <w:r>
              <w:rPr>
                <w:i/>
                <w:color w:val="000000"/>
              </w:rPr>
              <w:t>Item 2.4</w:t>
            </w:r>
          </w:p>
        </w:tc>
      </w:tr>
      <w:tr w:rsidR="00F355B2">
        <w:trPr>
          <w:trHeight w:val="41"/>
        </w:trPr>
        <w:tc>
          <w:tcPr>
            <w:tcW w:w="5939"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rPr>
            </w:pPr>
            <w:r>
              <w:rPr>
                <w:b/>
                <w:color w:val="000000"/>
              </w:rPr>
              <w:t xml:space="preserve">Structural BMP Reduction Credit, </w:t>
            </w:r>
            <w:proofErr w:type="spellStart"/>
            <w:r>
              <w:rPr>
                <w:b/>
                <w:color w:val="000000"/>
              </w:rPr>
              <w:t>lbs</w:t>
            </w:r>
            <w:proofErr w:type="spellEnd"/>
            <w:r>
              <w:rPr>
                <w:b/>
                <w:color w:val="000000"/>
              </w:rPr>
              <w:t>/</w:t>
            </w:r>
            <w:proofErr w:type="spellStart"/>
            <w:r>
              <w:rPr>
                <w:b/>
                <w:color w:val="000000"/>
              </w:rPr>
              <w:t>yr</w:t>
            </w:r>
            <w:proofErr w:type="spellEnd"/>
          </w:p>
        </w:tc>
        <w:tc>
          <w:tcPr>
            <w:tcW w:w="3563"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rPr>
            </w:pPr>
            <w:r>
              <w:rPr>
                <w:i/>
                <w:color w:val="000000"/>
              </w:rPr>
              <w:t>Item 2.5</w:t>
            </w:r>
          </w:p>
        </w:tc>
      </w:tr>
      <w:tr w:rsidR="00F355B2">
        <w:trPr>
          <w:trHeight w:val="41"/>
        </w:trPr>
        <w:tc>
          <w:tcPr>
            <w:tcW w:w="5939"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rPr>
            </w:pPr>
            <w:r>
              <w:rPr>
                <w:b/>
                <w:color w:val="000000"/>
              </w:rPr>
              <w:t xml:space="preserve">Total Reductions due to Existing BMPs, </w:t>
            </w:r>
            <w:proofErr w:type="spellStart"/>
            <w:r>
              <w:rPr>
                <w:b/>
                <w:color w:val="000000"/>
              </w:rPr>
              <w:t>lbs</w:t>
            </w:r>
            <w:proofErr w:type="spellEnd"/>
            <w:r>
              <w:rPr>
                <w:b/>
                <w:color w:val="000000"/>
              </w:rPr>
              <w:t>/</w:t>
            </w:r>
            <w:proofErr w:type="spellStart"/>
            <w:r>
              <w:rPr>
                <w:b/>
                <w:color w:val="000000"/>
              </w:rPr>
              <w:t>yr</w:t>
            </w:r>
            <w:proofErr w:type="spellEnd"/>
          </w:p>
        </w:tc>
        <w:tc>
          <w:tcPr>
            <w:tcW w:w="3563"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rPr>
            </w:pPr>
            <w:r>
              <w:rPr>
                <w:i/>
                <w:color w:val="000000"/>
              </w:rPr>
              <w:t>Item 2.6 = [Item 2.4 + Item 2.5]</w:t>
            </w:r>
          </w:p>
        </w:tc>
      </w:tr>
      <w:tr w:rsidR="00F355B2">
        <w:trPr>
          <w:trHeight w:val="41"/>
        </w:trPr>
        <w:tc>
          <w:tcPr>
            <w:tcW w:w="5939" w:type="dxa"/>
            <w:tcBorders>
              <w:top w:val="nil"/>
              <w:left w:val="single" w:sz="4" w:space="0" w:color="000000"/>
              <w:bottom w:val="single" w:sz="4" w:space="0" w:color="000000"/>
              <w:right w:val="single" w:sz="4" w:space="0" w:color="000000"/>
            </w:tcBorders>
            <w:vAlign w:val="center"/>
          </w:tcPr>
          <w:p w:rsidR="00F355B2" w:rsidRDefault="001F33F4">
            <w:pPr>
              <w:spacing w:after="0" w:line="240" w:lineRule="auto"/>
              <w:rPr>
                <w:b/>
                <w:color w:val="000000"/>
              </w:rPr>
            </w:pPr>
            <w:r>
              <w:rPr>
                <w:b/>
                <w:color w:val="000000"/>
              </w:rPr>
              <w:t xml:space="preserve">Remaining Stormwater P-Load Reduction Requirement, </w:t>
            </w:r>
            <w:proofErr w:type="spellStart"/>
            <w:r>
              <w:rPr>
                <w:b/>
                <w:color w:val="000000"/>
              </w:rPr>
              <w:t>lbs</w:t>
            </w:r>
            <w:proofErr w:type="spellEnd"/>
            <w:r>
              <w:rPr>
                <w:b/>
                <w:color w:val="000000"/>
              </w:rPr>
              <w:t>/</w:t>
            </w:r>
            <w:proofErr w:type="spellStart"/>
            <w:r>
              <w:rPr>
                <w:b/>
                <w:color w:val="000000"/>
              </w:rPr>
              <w:t>yr</w:t>
            </w:r>
            <w:proofErr w:type="spellEnd"/>
          </w:p>
        </w:tc>
        <w:tc>
          <w:tcPr>
            <w:tcW w:w="3563" w:type="dxa"/>
            <w:tcBorders>
              <w:top w:val="nil"/>
              <w:left w:val="nil"/>
              <w:bottom w:val="single" w:sz="4" w:space="0" w:color="000000"/>
              <w:right w:val="single" w:sz="4" w:space="0" w:color="000000"/>
            </w:tcBorders>
            <w:vAlign w:val="center"/>
          </w:tcPr>
          <w:p w:rsidR="00F355B2" w:rsidRDefault="001F33F4">
            <w:pPr>
              <w:spacing w:after="0" w:line="240" w:lineRule="auto"/>
              <w:jc w:val="right"/>
              <w:rPr>
                <w:i/>
                <w:color w:val="000000"/>
              </w:rPr>
            </w:pPr>
            <w:r>
              <w:rPr>
                <w:i/>
                <w:color w:val="000000"/>
              </w:rPr>
              <w:t>Item 2.7 = [Item 2.3 – Item 2.6]</w:t>
            </w:r>
          </w:p>
        </w:tc>
      </w:tr>
    </w:tbl>
    <w:p w:rsidR="00F355B2" w:rsidRDefault="00F355B2">
      <w:pPr>
        <w:rPr>
          <w:highlight w:val="yellow"/>
        </w:rPr>
      </w:pPr>
    </w:p>
    <w:p w:rsidR="00F355B2" w:rsidRDefault="001F33F4">
      <w:pPr>
        <w:rPr>
          <w:b/>
        </w:rPr>
      </w:pPr>
      <w:r>
        <w:rPr>
          <w:b/>
        </w:rPr>
        <w:t>Other Useful Benchmarking Exercises</w:t>
      </w:r>
    </w:p>
    <w:p w:rsidR="00F355B2" w:rsidRDefault="001F33F4">
      <w:r>
        <w:t>Based on the data collected in this worksheet, we recommend a couple of benchmarking exercises, which may help lend some context to your future planning. This information will not be explicitly used in the Template, but it will be good information to inform your PCP approach.</w:t>
      </w:r>
    </w:p>
    <w:p w:rsidR="00F355B2" w:rsidRDefault="001F33F4">
      <w:pPr>
        <w:rPr>
          <w:b/>
        </w:rPr>
      </w:pPr>
      <w:r>
        <w:rPr>
          <w:b/>
        </w:rPr>
        <w:t xml:space="preserve">Non-Structural Control Benchmark: Re-Report 2.2: Total phosphorus credit associated with current non-structural BMPs: _____ </w:t>
      </w:r>
      <w:proofErr w:type="spellStart"/>
      <w:r>
        <w:rPr>
          <w:b/>
        </w:rPr>
        <w:t>lb</w:t>
      </w:r>
      <w:proofErr w:type="spellEnd"/>
      <w:r>
        <w:rPr>
          <w:b/>
        </w:rPr>
        <w:t>/</w:t>
      </w:r>
      <w:proofErr w:type="spellStart"/>
      <w:r>
        <w:rPr>
          <w:b/>
        </w:rPr>
        <w:t>yr</w:t>
      </w:r>
      <w:proofErr w:type="spellEnd"/>
    </w:p>
    <w:p w:rsidR="00F355B2" w:rsidRDefault="001F33F4">
      <w:r>
        <w:tab/>
        <w:t>What BMPs are in practice to achieve this reduction: 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1F33F4">
      <w:r>
        <w:tab/>
        <w:t>How much does this cost, annually (if available):  _______________________________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left="720"/>
      </w:pPr>
      <w:r>
        <w:lastRenderedPageBreak/>
        <w:t>Describe level of effort to maintain BMPs (staff time, equipment purchasing/maintenance, tracking, etc.) 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1F33F4">
      <w:r>
        <w:t xml:space="preserve">To estimate costs for structural BMP controls, use the guidance provided in Slides 18-26 of the PCP Training Workshop #3 and the </w:t>
      </w:r>
      <w:r w:rsidR="00AB4714">
        <w:t>Cost-Benefit</w:t>
      </w:r>
      <w:r>
        <w:t xml:space="preserve"> Resource Toolkit for Phosphorus Control BMPs (Appendix R.7). This document compiled cost information from numerous communities to provide an estimate for the cost of phosphorus removal in the Charles River watershed. If you have sufficient data from your own community you could do</w:t>
      </w:r>
      <w:bookmarkStart w:id="9" w:name="_GoBack"/>
      <w:bookmarkEnd w:id="9"/>
      <w:r>
        <w:t xml:space="preserve"> the benchmarking exercise below. </w:t>
      </w:r>
    </w:p>
    <w:p w:rsidR="00F355B2" w:rsidRDefault="001F33F4">
      <w:pPr>
        <w:rPr>
          <w:b/>
        </w:rPr>
      </w:pPr>
      <w:r>
        <w:rPr>
          <w:b/>
        </w:rPr>
        <w:t xml:space="preserve">Structural Control Benchmark: Re-Report 2.3: Total phosphorus credit associated with existing structural BMPs: _____ </w:t>
      </w:r>
      <w:proofErr w:type="spellStart"/>
      <w:r>
        <w:rPr>
          <w:b/>
        </w:rPr>
        <w:t>lb</w:t>
      </w:r>
      <w:proofErr w:type="spellEnd"/>
      <w:r>
        <w:rPr>
          <w:b/>
        </w:rPr>
        <w:t>/</w:t>
      </w:r>
      <w:proofErr w:type="spellStart"/>
      <w:r>
        <w:rPr>
          <w:b/>
        </w:rPr>
        <w:t>yr</w:t>
      </w:r>
      <w:proofErr w:type="spellEnd"/>
      <w:r>
        <w:t xml:space="preserve">     </w:t>
      </w:r>
    </w:p>
    <w:p w:rsidR="00F355B2" w:rsidRDefault="001F33F4">
      <w:pPr>
        <w:ind w:left="720"/>
      </w:pPr>
      <w:r>
        <w:t>What types of BMPs (and how many of each) were implemented to achieve this reduction :  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firstLine="720"/>
      </w:pPr>
      <w:bookmarkStart w:id="10" w:name="_heading=h.26in1rg" w:colFirst="0" w:colLast="0"/>
      <w:bookmarkEnd w:id="10"/>
      <w:r>
        <w:t>______________________________________________________________________</w:t>
      </w:r>
    </w:p>
    <w:p w:rsidR="00F355B2" w:rsidRDefault="001F33F4">
      <w:pPr>
        <w:ind w:left="720"/>
      </w:pPr>
      <w:r>
        <w:t>How much did this cost overall to implement (if available; for municipally owned): ____ 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left="720"/>
      </w:pPr>
      <w:r>
        <w:t>How much does this cost, annually, to maintain (if available; for municipally maintained): 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left="720"/>
      </w:pPr>
      <w:r>
        <w:t>Describe level of effort to maintain (staff time, equipment purchasing/maintenance, tracking, etc. ___________________________________________________________________</w:t>
      </w:r>
    </w:p>
    <w:p w:rsidR="00F355B2" w:rsidRDefault="001F33F4">
      <w:pPr>
        <w:ind w:firstLine="720"/>
      </w:pPr>
      <w:r>
        <w:t>______________________________________________________________________</w:t>
      </w:r>
    </w:p>
    <w:p w:rsidR="00F355B2" w:rsidRDefault="001F33F4">
      <w:pPr>
        <w:ind w:firstLine="720"/>
      </w:pPr>
      <w:r>
        <w:t>______________________________________________________________________</w:t>
      </w:r>
    </w:p>
    <w:p w:rsidR="00F355B2" w:rsidRDefault="00F355B2"/>
    <w:p w:rsidR="00F355B2" w:rsidRDefault="001F33F4">
      <w:r>
        <w:t>Approximate Historical Unit Cost for Non-Structural BMPs = [Total implementation cost] / [</w:t>
      </w:r>
      <w:proofErr w:type="spellStart"/>
      <w:r>
        <w:t>lb</w:t>
      </w:r>
      <w:proofErr w:type="spellEnd"/>
      <w:r>
        <w:t xml:space="preserve"> removed] __________________________________________________________________</w:t>
      </w:r>
    </w:p>
    <w:p w:rsidR="00F355B2" w:rsidRDefault="001F33F4">
      <w:r>
        <w:t>Approximate Historical Unit Cost for Structural BMPs = [Total implementation cost] / [</w:t>
      </w:r>
      <w:proofErr w:type="spellStart"/>
      <w:r>
        <w:t>lb</w:t>
      </w:r>
      <w:proofErr w:type="spellEnd"/>
      <w:r>
        <w:t xml:space="preserve"> removed] ___________________________________________________________________</w:t>
      </w:r>
    </w:p>
    <w:p w:rsidR="00F355B2" w:rsidRDefault="001F33F4">
      <w:r>
        <w:lastRenderedPageBreak/>
        <w:t>If cost information is not readily available, use this as an opportunity to more qualitatively determine the relative efficacy of structural and non-structural BMPs based on historical data. The PCP Guidance Tools in Appendix R.1 will walk you through the process to begin selecting methods to obtain further phosphorus reduction credits, including, but not limited to, structural and non-structural BMPs. Some considerations, based on historical data, you should consider, include:</w:t>
      </w:r>
    </w:p>
    <w:p w:rsidR="00F355B2" w:rsidRDefault="001F33F4">
      <w:pPr>
        <w:numPr>
          <w:ilvl w:val="0"/>
          <w:numId w:val="8"/>
        </w:numPr>
        <w:pBdr>
          <w:top w:val="nil"/>
          <w:left w:val="nil"/>
          <w:bottom w:val="nil"/>
          <w:right w:val="nil"/>
          <w:between w:val="nil"/>
        </w:pBdr>
        <w:spacing w:after="0"/>
      </w:pPr>
      <w:r>
        <w:rPr>
          <w:color w:val="000000"/>
        </w:rPr>
        <w:t xml:space="preserve">How effective are the existing structural and non-structural BMPs? </w:t>
      </w:r>
    </w:p>
    <w:p w:rsidR="00F355B2" w:rsidRDefault="001F33F4">
      <w:pPr>
        <w:numPr>
          <w:ilvl w:val="0"/>
          <w:numId w:val="8"/>
        </w:numPr>
        <w:pBdr>
          <w:top w:val="nil"/>
          <w:left w:val="nil"/>
          <w:bottom w:val="nil"/>
          <w:right w:val="nil"/>
          <w:between w:val="nil"/>
        </w:pBdr>
        <w:spacing w:after="0"/>
      </w:pPr>
      <w:r>
        <w:rPr>
          <w:color w:val="000000"/>
        </w:rPr>
        <w:t>Is O&amp;M manageable? Sustainable? What is the effort required to implement and maintain?</w:t>
      </w:r>
    </w:p>
    <w:p w:rsidR="00F355B2" w:rsidRDefault="001F33F4">
      <w:pPr>
        <w:numPr>
          <w:ilvl w:val="0"/>
          <w:numId w:val="8"/>
        </w:numPr>
        <w:pBdr>
          <w:top w:val="nil"/>
          <w:left w:val="nil"/>
          <w:bottom w:val="nil"/>
          <w:right w:val="nil"/>
          <w:between w:val="nil"/>
        </w:pBdr>
        <w:spacing w:after="0"/>
      </w:pPr>
      <w:bookmarkStart w:id="11" w:name="_heading=h.tyjcwt" w:colFirst="0" w:colLast="0"/>
      <w:bookmarkEnd w:id="11"/>
      <w:r>
        <w:rPr>
          <w:color w:val="000000"/>
        </w:rPr>
        <w:t xml:space="preserve">Do you have capacity to enhance over existing? For example, if sweeping monthly, do you have the capacity to enhance further to weekly? What are your limiting factors if enhancing over current operations does not seem feasible? Staff availability? Funding? O&amp;M training? </w:t>
      </w:r>
    </w:p>
    <w:sectPr w:rsidR="00F355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5B" w:rsidRDefault="009A455B">
      <w:pPr>
        <w:spacing w:after="0" w:line="240" w:lineRule="auto"/>
      </w:pPr>
      <w:r>
        <w:separator/>
      </w:r>
    </w:p>
  </w:endnote>
  <w:endnote w:type="continuationSeparator" w:id="0">
    <w:p w:rsidR="009A455B" w:rsidRDefault="009A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F355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1F33F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77C5">
      <w:rPr>
        <w:noProof/>
        <w:color w:val="000000"/>
      </w:rPr>
      <w:t>1</w:t>
    </w:r>
    <w:r>
      <w:rPr>
        <w:color w:val="000000"/>
      </w:rPr>
      <w:fldChar w:fldCharType="end"/>
    </w:r>
  </w:p>
  <w:p w:rsidR="00F355B2" w:rsidRDefault="00F355B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F355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5B" w:rsidRDefault="009A455B">
      <w:pPr>
        <w:spacing w:after="0" w:line="240" w:lineRule="auto"/>
      </w:pPr>
      <w:r>
        <w:separator/>
      </w:r>
    </w:p>
  </w:footnote>
  <w:footnote w:type="continuationSeparator" w:id="0">
    <w:p w:rsidR="009A455B" w:rsidRDefault="009A455B">
      <w:pPr>
        <w:spacing w:after="0" w:line="240" w:lineRule="auto"/>
      </w:pPr>
      <w:r>
        <w:continuationSeparator/>
      </w:r>
    </w:p>
  </w:footnote>
  <w:footnote w:id="1">
    <w:p w:rsidR="00F355B2" w:rsidRDefault="001F33F4">
      <w:pPr>
        <w:pBdr>
          <w:top w:val="nil"/>
          <w:left w:val="nil"/>
          <w:bottom w:val="nil"/>
          <w:right w:val="nil"/>
          <w:between w:val="nil"/>
        </w:pBdr>
        <w:spacing w:after="0" w:line="240" w:lineRule="auto"/>
        <w:rPr>
          <w:color w:val="000000"/>
          <w:sz w:val="20"/>
          <w:szCs w:val="20"/>
        </w:rPr>
      </w:pPr>
      <w:bookmarkStart w:id="6" w:name="_heading=h.lnxbz9" w:colFirst="0" w:colLast="0"/>
      <w:bookmarkEnd w:id="6"/>
      <w:r>
        <w:rPr>
          <w:rStyle w:val="FootnoteReference"/>
        </w:rPr>
        <w:footnoteRef/>
      </w:r>
      <w:r>
        <w:rPr>
          <w:color w:val="000000"/>
          <w:sz w:val="20"/>
          <w:szCs w:val="20"/>
        </w:rPr>
        <w:t xml:space="preserve"> Appendix F – Requirements for Discharges to Impaired Waters with an Approved TMDL. Note, this is </w:t>
      </w:r>
      <w:r>
        <w:rPr>
          <w:b/>
          <w:color w:val="000000"/>
          <w:sz w:val="20"/>
          <w:szCs w:val="20"/>
        </w:rPr>
        <w:t>NOT</w:t>
      </w:r>
      <w:r>
        <w:rPr>
          <w:color w:val="000000"/>
          <w:sz w:val="20"/>
          <w:szCs w:val="20"/>
        </w:rPr>
        <w:t xml:space="preserve"> the same exercise as the optional re-baselining that the Permit also allows. </w:t>
      </w:r>
    </w:p>
  </w:footnote>
  <w:footnote w:id="2">
    <w:p w:rsidR="00F355B2" w:rsidRDefault="001F33F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Attachment 2 to Appendix F, page 5 of 10: “for example, if sweeping does not occur Dec – Feb, the adjustment factor would be 9/12 (months) = 0.75. Year-round sweeping has an adjustment factor of 1.0.</w:t>
      </w:r>
    </w:p>
  </w:footnote>
  <w:footnote w:id="3">
    <w:p w:rsidR="00F355B2" w:rsidRDefault="001F33F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Attachment 2 to Appendix F Excerpt, page 9 of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F355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1F33F4">
    <w:pPr>
      <w:keepLines/>
      <w:spacing w:before="240" w:after="0"/>
      <w:ind w:left="432" w:hanging="432"/>
      <w:jc w:val="center"/>
      <w:rPr>
        <w:b/>
        <w:sz w:val="24"/>
        <w:szCs w:val="24"/>
      </w:rPr>
    </w:pPr>
    <w:r>
      <w:rPr>
        <w:b/>
        <w:sz w:val="24"/>
        <w:szCs w:val="24"/>
      </w:rPr>
      <w:t>Phosphorus Control Plan (PCP) Template - Appendix R.2</w:t>
    </w:r>
  </w:p>
  <w:p w:rsidR="00F355B2" w:rsidRDefault="00F355B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B2" w:rsidRDefault="00F355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E62"/>
    <w:multiLevelType w:val="multilevel"/>
    <w:tmpl w:val="90C6A2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A62D0B"/>
    <w:multiLevelType w:val="multilevel"/>
    <w:tmpl w:val="8B4AF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46688B"/>
    <w:multiLevelType w:val="multilevel"/>
    <w:tmpl w:val="D9DA4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16CB4"/>
    <w:multiLevelType w:val="multilevel"/>
    <w:tmpl w:val="F47AA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561FC2"/>
    <w:multiLevelType w:val="multilevel"/>
    <w:tmpl w:val="274CED80"/>
    <w:lvl w:ilvl="0">
      <w:start w:val="1"/>
      <w:numFmt w:val="bullet"/>
      <w:lvlText w:val="-"/>
      <w:lvlJc w:val="left"/>
      <w:pPr>
        <w:ind w:left="1080" w:hanging="360"/>
      </w:pPr>
      <w:rPr>
        <w:rFonts w:ascii="Calibri" w:eastAsia="Calibri" w:hAnsi="Calibri" w:cs="Calibr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DAB7BFF"/>
    <w:multiLevelType w:val="multilevel"/>
    <w:tmpl w:val="6D98C30A"/>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54779C7"/>
    <w:multiLevelType w:val="multilevel"/>
    <w:tmpl w:val="11EE5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C857732"/>
    <w:multiLevelType w:val="multilevel"/>
    <w:tmpl w:val="0478C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5A2AE4"/>
    <w:multiLevelType w:val="multilevel"/>
    <w:tmpl w:val="6802B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0204AA"/>
    <w:multiLevelType w:val="multilevel"/>
    <w:tmpl w:val="40DA4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041D64"/>
    <w:multiLevelType w:val="multilevel"/>
    <w:tmpl w:val="7E723D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9"/>
  </w:num>
  <w:num w:numId="8">
    <w:abstractNumId w:val="1"/>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B2"/>
    <w:rsid w:val="001F33F4"/>
    <w:rsid w:val="003D77C5"/>
    <w:rsid w:val="009A455B"/>
    <w:rsid w:val="00AB4714"/>
    <w:rsid w:val="00F3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AC0"/>
  <w15:docId w15:val="{6162DCE1-C4F5-4733-AB22-9177C16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51"/>
  </w:style>
  <w:style w:type="paragraph" w:styleId="Heading1">
    <w:name w:val="heading 1"/>
    <w:basedOn w:val="Normal"/>
    <w:next w:val="Normal"/>
    <w:link w:val="Heading1Char"/>
    <w:uiPriority w:val="9"/>
    <w:qFormat/>
    <w:rsid w:val="001332CE"/>
    <w:pPr>
      <w:keepNext/>
      <w:keepLines/>
      <w:numPr>
        <w:numId w:val="11"/>
      </w:numPr>
      <w:spacing w:before="240" w:after="0"/>
      <w:jc w:val="center"/>
      <w:outlineLvl w:val="0"/>
    </w:pPr>
    <w:rPr>
      <w:rFonts w:eastAsia="Times New Roman" w:cs="Times New Roman"/>
      <w:b/>
      <w:sz w:val="24"/>
      <w:szCs w:val="32"/>
      <w:u w:val="single"/>
    </w:rPr>
  </w:style>
  <w:style w:type="paragraph" w:styleId="Heading2">
    <w:name w:val="heading 2"/>
    <w:basedOn w:val="Normal"/>
    <w:next w:val="Normal"/>
    <w:link w:val="Heading2Char"/>
    <w:uiPriority w:val="9"/>
    <w:semiHidden/>
    <w:unhideWhenUsed/>
    <w:qFormat/>
    <w:rsid w:val="00860D00"/>
    <w:pPr>
      <w:keepNext/>
      <w:keepLines/>
      <w:numPr>
        <w:ilvl w:val="1"/>
        <w:numId w:val="11"/>
      </w:numPr>
      <w:spacing w:before="40" w:after="0"/>
      <w:outlineLvl w:val="1"/>
    </w:pPr>
    <w:rPr>
      <w:rFonts w:eastAsia="Times New Roman" w:cs="Times New Roman"/>
      <w:szCs w:val="26"/>
    </w:rPr>
  </w:style>
  <w:style w:type="paragraph" w:styleId="Heading3">
    <w:name w:val="heading 3"/>
    <w:basedOn w:val="Normal"/>
    <w:next w:val="Normal"/>
    <w:link w:val="Heading3Char"/>
    <w:uiPriority w:val="9"/>
    <w:semiHidden/>
    <w:unhideWhenUsed/>
    <w:qFormat/>
    <w:rsid w:val="00A444FF"/>
    <w:pPr>
      <w:keepNext/>
      <w:keepLines/>
      <w:numPr>
        <w:ilvl w:val="2"/>
        <w:numId w:val="11"/>
      </w:numPr>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A444FF"/>
    <w:pPr>
      <w:keepNext/>
      <w:keepLines/>
      <w:numPr>
        <w:ilvl w:val="3"/>
        <w:numId w:val="11"/>
      </w:numPr>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A444FF"/>
    <w:pPr>
      <w:keepNext/>
      <w:keepLines/>
      <w:numPr>
        <w:ilvl w:val="4"/>
        <w:numId w:val="11"/>
      </w:numPr>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A444FF"/>
    <w:pPr>
      <w:keepNext/>
      <w:keepLines/>
      <w:numPr>
        <w:ilvl w:val="5"/>
        <w:numId w:val="11"/>
      </w:numPr>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A444FF"/>
    <w:pPr>
      <w:keepNext/>
      <w:keepLines/>
      <w:numPr>
        <w:ilvl w:val="6"/>
        <w:numId w:val="11"/>
      </w:numPr>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A444FF"/>
    <w:pPr>
      <w:keepNext/>
      <w:keepLines/>
      <w:numPr>
        <w:ilvl w:val="7"/>
        <w:numId w:val="1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444FF"/>
    <w:pPr>
      <w:keepNext/>
      <w:keepLines/>
      <w:numPr>
        <w:ilvl w:val="8"/>
        <w:numId w:val="1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42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298"/>
    <w:rPr>
      <w:rFonts w:ascii="Segoe UI" w:hAnsi="Segoe UI" w:cs="Segoe UI"/>
      <w:sz w:val="18"/>
      <w:szCs w:val="18"/>
    </w:rPr>
  </w:style>
  <w:style w:type="paragraph" w:styleId="ListParagraph">
    <w:name w:val="List Paragraph"/>
    <w:basedOn w:val="Normal"/>
    <w:uiPriority w:val="34"/>
    <w:qFormat/>
    <w:rsid w:val="00124298"/>
    <w:pPr>
      <w:ind w:left="720"/>
      <w:contextualSpacing/>
    </w:pPr>
  </w:style>
  <w:style w:type="character" w:customStyle="1" w:styleId="TemplateTextChar">
    <w:name w:val="Template Text Char"/>
    <w:link w:val="TemplateText"/>
    <w:locked/>
    <w:rsid w:val="003E21B9"/>
    <w:rPr>
      <w:rFonts w:ascii="Arial" w:hAnsi="Arial" w:cs="Arial"/>
      <w:i/>
      <w:iCs/>
      <w:color w:val="FF0066"/>
      <w:szCs w:val="24"/>
    </w:rPr>
  </w:style>
  <w:style w:type="paragraph" w:customStyle="1" w:styleId="TemplateText">
    <w:name w:val="Template Text"/>
    <w:basedOn w:val="Normal"/>
    <w:link w:val="TemplateTextChar"/>
    <w:qFormat/>
    <w:rsid w:val="003E21B9"/>
    <w:pPr>
      <w:spacing w:after="0" w:line="240" w:lineRule="atLeast"/>
      <w:jc w:val="both"/>
    </w:pPr>
    <w:rPr>
      <w:i/>
      <w:iCs/>
      <w:color w:val="FF0066"/>
      <w:szCs w:val="24"/>
    </w:rPr>
  </w:style>
  <w:style w:type="character" w:customStyle="1" w:styleId="Heading1Char">
    <w:name w:val="Heading 1 Char"/>
    <w:link w:val="Heading1"/>
    <w:uiPriority w:val="9"/>
    <w:rsid w:val="001332CE"/>
    <w:rPr>
      <w:rFonts w:eastAsia="Times New Roman" w:cs="Times New Roman"/>
      <w:b/>
      <w:sz w:val="24"/>
      <w:szCs w:val="32"/>
      <w:u w:val="single"/>
    </w:rPr>
  </w:style>
  <w:style w:type="character" w:styleId="CommentReference">
    <w:name w:val="annotation reference"/>
    <w:uiPriority w:val="99"/>
    <w:semiHidden/>
    <w:unhideWhenUsed/>
    <w:rsid w:val="003B5D3F"/>
    <w:rPr>
      <w:sz w:val="16"/>
      <w:szCs w:val="16"/>
    </w:rPr>
  </w:style>
  <w:style w:type="paragraph" w:styleId="CommentText">
    <w:name w:val="annotation text"/>
    <w:basedOn w:val="Normal"/>
    <w:link w:val="CommentTextChar"/>
    <w:uiPriority w:val="99"/>
    <w:semiHidden/>
    <w:unhideWhenUsed/>
    <w:rsid w:val="003B5D3F"/>
    <w:pPr>
      <w:spacing w:line="240" w:lineRule="auto"/>
    </w:pPr>
    <w:rPr>
      <w:sz w:val="20"/>
      <w:szCs w:val="20"/>
    </w:rPr>
  </w:style>
  <w:style w:type="character" w:customStyle="1" w:styleId="CommentTextChar">
    <w:name w:val="Comment Text Char"/>
    <w:link w:val="CommentText"/>
    <w:uiPriority w:val="99"/>
    <w:semiHidden/>
    <w:rsid w:val="003B5D3F"/>
    <w:rPr>
      <w:sz w:val="20"/>
      <w:szCs w:val="20"/>
    </w:rPr>
  </w:style>
  <w:style w:type="paragraph" w:styleId="CommentSubject">
    <w:name w:val="annotation subject"/>
    <w:basedOn w:val="CommentText"/>
    <w:next w:val="CommentText"/>
    <w:link w:val="CommentSubjectChar"/>
    <w:uiPriority w:val="99"/>
    <w:semiHidden/>
    <w:unhideWhenUsed/>
    <w:rsid w:val="003B5D3F"/>
    <w:rPr>
      <w:b/>
      <w:bCs/>
    </w:rPr>
  </w:style>
  <w:style w:type="character" w:customStyle="1" w:styleId="CommentSubjectChar">
    <w:name w:val="Comment Subject Char"/>
    <w:link w:val="CommentSubject"/>
    <w:uiPriority w:val="99"/>
    <w:semiHidden/>
    <w:rsid w:val="003B5D3F"/>
    <w:rPr>
      <w:b/>
      <w:bCs/>
      <w:sz w:val="20"/>
      <w:szCs w:val="20"/>
    </w:rPr>
  </w:style>
  <w:style w:type="character" w:customStyle="1" w:styleId="Heading2Char">
    <w:name w:val="Heading 2 Char"/>
    <w:link w:val="Heading2"/>
    <w:uiPriority w:val="9"/>
    <w:rsid w:val="00860D00"/>
    <w:rPr>
      <w:rFonts w:ascii="Calibri" w:eastAsia="Times New Roman" w:hAnsi="Calibri" w:cs="Times New Roman"/>
      <w:szCs w:val="26"/>
    </w:rPr>
  </w:style>
  <w:style w:type="table" w:styleId="TableGrid">
    <w:name w:val="Table Grid"/>
    <w:basedOn w:val="TableNormal"/>
    <w:uiPriority w:val="39"/>
    <w:rsid w:val="00E9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A444FF"/>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sid w:val="00A444FF"/>
    <w:rPr>
      <w:rFonts w:ascii="Calibri Light" w:eastAsia="Times New Roman" w:hAnsi="Calibri Light" w:cs="Times New Roman"/>
      <w:i/>
      <w:iCs/>
      <w:color w:val="2F5496"/>
    </w:rPr>
  </w:style>
  <w:style w:type="character" w:customStyle="1" w:styleId="Heading5Char">
    <w:name w:val="Heading 5 Char"/>
    <w:link w:val="Heading5"/>
    <w:uiPriority w:val="9"/>
    <w:semiHidden/>
    <w:rsid w:val="00A444FF"/>
    <w:rPr>
      <w:rFonts w:ascii="Calibri Light" w:eastAsia="Times New Roman" w:hAnsi="Calibri Light" w:cs="Times New Roman"/>
      <w:color w:val="2F5496"/>
    </w:rPr>
  </w:style>
  <w:style w:type="character" w:customStyle="1" w:styleId="Heading6Char">
    <w:name w:val="Heading 6 Char"/>
    <w:link w:val="Heading6"/>
    <w:uiPriority w:val="9"/>
    <w:semiHidden/>
    <w:rsid w:val="00A444FF"/>
    <w:rPr>
      <w:rFonts w:ascii="Calibri Light" w:eastAsia="Times New Roman" w:hAnsi="Calibri Light" w:cs="Times New Roman"/>
      <w:color w:val="1F3763"/>
    </w:rPr>
  </w:style>
  <w:style w:type="character" w:customStyle="1" w:styleId="Heading7Char">
    <w:name w:val="Heading 7 Char"/>
    <w:link w:val="Heading7"/>
    <w:uiPriority w:val="9"/>
    <w:semiHidden/>
    <w:rsid w:val="00A444FF"/>
    <w:rPr>
      <w:rFonts w:ascii="Calibri Light" w:eastAsia="Times New Roman" w:hAnsi="Calibri Light" w:cs="Times New Roman"/>
      <w:i/>
      <w:iCs/>
      <w:color w:val="1F3763"/>
    </w:rPr>
  </w:style>
  <w:style w:type="character" w:customStyle="1" w:styleId="Heading8Char">
    <w:name w:val="Heading 8 Char"/>
    <w:link w:val="Heading8"/>
    <w:uiPriority w:val="9"/>
    <w:semiHidden/>
    <w:rsid w:val="00A444FF"/>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A444FF"/>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rsid w:val="005B014E"/>
    <w:pPr>
      <w:spacing w:after="0" w:line="240" w:lineRule="auto"/>
    </w:pPr>
    <w:rPr>
      <w:sz w:val="20"/>
      <w:szCs w:val="20"/>
    </w:rPr>
  </w:style>
  <w:style w:type="character" w:customStyle="1" w:styleId="FootnoteTextChar">
    <w:name w:val="Footnote Text Char"/>
    <w:link w:val="FootnoteText"/>
    <w:uiPriority w:val="99"/>
    <w:semiHidden/>
    <w:rsid w:val="005B014E"/>
    <w:rPr>
      <w:sz w:val="20"/>
      <w:szCs w:val="20"/>
    </w:rPr>
  </w:style>
  <w:style w:type="character" w:styleId="FootnoteReference">
    <w:name w:val="footnote reference"/>
    <w:uiPriority w:val="99"/>
    <w:semiHidden/>
    <w:unhideWhenUsed/>
    <w:rsid w:val="005B014E"/>
    <w:rPr>
      <w:vertAlign w:val="superscript"/>
    </w:rPr>
  </w:style>
  <w:style w:type="paragraph" w:styleId="Caption">
    <w:name w:val="caption"/>
    <w:basedOn w:val="Normal"/>
    <w:next w:val="Normal"/>
    <w:uiPriority w:val="35"/>
    <w:unhideWhenUsed/>
    <w:qFormat/>
    <w:rsid w:val="00FA2151"/>
    <w:pPr>
      <w:spacing w:after="200" w:line="240" w:lineRule="auto"/>
      <w:jc w:val="center"/>
    </w:pPr>
    <w:rPr>
      <w:iCs/>
      <w:szCs w:val="18"/>
    </w:rPr>
  </w:style>
  <w:style w:type="character" w:styleId="Hyperlink">
    <w:name w:val="Hyperlink"/>
    <w:uiPriority w:val="99"/>
    <w:semiHidden/>
    <w:unhideWhenUsed/>
    <w:rsid w:val="00CD54C1"/>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Spacing">
    <w:name w:val="No Spacing"/>
    <w:uiPriority w:val="1"/>
    <w:qFormat/>
    <w:rsid w:val="006668F2"/>
  </w:style>
  <w:style w:type="paragraph" w:styleId="Header">
    <w:name w:val="header"/>
    <w:basedOn w:val="Normal"/>
    <w:link w:val="HeaderChar"/>
    <w:uiPriority w:val="99"/>
    <w:unhideWhenUsed/>
    <w:rsid w:val="0035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3D"/>
    <w:rPr>
      <w:sz w:val="22"/>
      <w:szCs w:val="22"/>
    </w:rPr>
  </w:style>
  <w:style w:type="paragraph" w:styleId="Footer">
    <w:name w:val="footer"/>
    <w:basedOn w:val="Normal"/>
    <w:link w:val="FooterChar"/>
    <w:uiPriority w:val="99"/>
    <w:unhideWhenUsed/>
    <w:rsid w:val="0035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3D"/>
    <w:rPr>
      <w:sz w:val="22"/>
      <w:szCs w:val="22"/>
    </w:rPr>
  </w:style>
  <w:style w:type="paragraph" w:styleId="Revision">
    <w:name w:val="Revision"/>
    <w:hidden/>
    <w:uiPriority w:val="99"/>
    <w:semiHidden/>
    <w:rsid w:val="00221DC8"/>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wa.org/uploads/1/2/6/7/126781580/phosphorus_control_plan_workshop_2_tocrwa.ppt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wa.org/phosphorus-control-planning-support.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oy6YNy/5pSisk/lr5r1Yuft3g==">AMUW2mUjiar3SMV6ZBXQh/G9gNXB0ud9yzobA6XAt7Vim890zqo16FUBqBSoNrVlRhBvGh/EwNtORpmtIItUpYDXUVYueKVgF4r6wZ3hF2cgQp+sxUkw4sxOzca27fvJSaYEM6iEMu58YN/2bHpJ0FtkY7J4QB45un5FXcBTpqNVOrA00py37Cw/Y2fuidEUkdCMq8qXiG9i243QEkw3BvkTZns0lYsRvEqZnlXBTD8MI1bnyTD19VvAr3Z9fqL0DGUrT9XGc7sUt97QPCt1UFInHEGv6ZhI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4203</Words>
  <Characters>23960</Characters>
  <Application>Microsoft Office Word</Application>
  <DocSecurity>0</DocSecurity>
  <Lines>199</Lines>
  <Paragraphs>56</Paragraphs>
  <ScaleCrop>false</ScaleCrop>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Alimena</dc:creator>
  <cp:lastModifiedBy>Sarah Traore</cp:lastModifiedBy>
  <cp:revision>3</cp:revision>
  <dcterms:created xsi:type="dcterms:W3CDTF">2022-06-28T03:00:00Z</dcterms:created>
  <dcterms:modified xsi:type="dcterms:W3CDTF">2022-06-29T17:48:00Z</dcterms:modified>
</cp:coreProperties>
</file>